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D960" w14:textId="77777777" w:rsidR="00B45CD5" w:rsidRPr="008C7FEB" w:rsidRDefault="00B45CD5" w:rsidP="00B45CD5">
      <w:pPr>
        <w:jc w:val="center"/>
        <w:rPr>
          <w:rFonts w:ascii="Calibri" w:hAnsi="Calibri" w:cs="Calibri"/>
          <w:b/>
          <w:sz w:val="28"/>
          <w:szCs w:val="28"/>
        </w:rPr>
      </w:pPr>
      <w:r>
        <w:rPr>
          <w:rFonts w:ascii="Calibri" w:hAnsi="Calibri" w:cs="Calibri"/>
          <w:b/>
          <w:sz w:val="28"/>
          <w:szCs w:val="28"/>
        </w:rPr>
        <w:t xml:space="preserve">BIRMINGHAM </w:t>
      </w:r>
      <w:r w:rsidRPr="008C7FEB">
        <w:rPr>
          <w:rFonts w:ascii="Calibri" w:hAnsi="Calibri" w:cs="Calibri"/>
          <w:b/>
          <w:sz w:val="28"/>
          <w:szCs w:val="28"/>
        </w:rPr>
        <w:t xml:space="preserve">NEWMAN UNIVERSITY </w:t>
      </w:r>
    </w:p>
    <w:p w14:paraId="24220E58" w14:textId="3ADE7F52" w:rsidR="00B45CD5" w:rsidRPr="008C7FEB" w:rsidRDefault="00B45CD5" w:rsidP="00B45CD5">
      <w:pPr>
        <w:jc w:val="center"/>
        <w:rPr>
          <w:rFonts w:ascii="Calibri" w:hAnsi="Calibri" w:cs="Calibri"/>
          <w:b/>
          <w:sz w:val="28"/>
          <w:szCs w:val="28"/>
        </w:rPr>
      </w:pPr>
      <w:r>
        <w:rPr>
          <w:rFonts w:ascii="Calibri" w:hAnsi="Calibri" w:cs="Calibri"/>
          <w:b/>
          <w:sz w:val="28"/>
          <w:szCs w:val="28"/>
        </w:rPr>
        <w:t>FINANCE AND GENERAL PURPOSES</w:t>
      </w:r>
      <w:r w:rsidRPr="008C7FEB">
        <w:rPr>
          <w:rFonts w:ascii="Calibri" w:hAnsi="Calibri" w:cs="Calibri"/>
          <w:b/>
          <w:sz w:val="28"/>
          <w:szCs w:val="28"/>
        </w:rPr>
        <w:t xml:space="preserve"> COMMITTEE – TERMS OF REFERENCE</w:t>
      </w:r>
    </w:p>
    <w:p w14:paraId="5BEE868D" w14:textId="255189F8" w:rsidR="00B45CD5" w:rsidRPr="00B45CD5" w:rsidRDefault="00EF32E7" w:rsidP="00EF32E7">
      <w:pPr>
        <w:spacing w:line="240" w:lineRule="auto"/>
        <w:contextualSpacing/>
        <w:jc w:val="center"/>
        <w:rPr>
          <w:rFonts w:ascii="Calibri" w:hAnsi="Calibri" w:cs="Calibri"/>
          <w:i/>
          <w:iCs/>
        </w:rPr>
      </w:pPr>
      <w:r>
        <w:rPr>
          <w:rFonts w:ascii="Calibri" w:hAnsi="Calibri" w:cs="Calibri"/>
          <w:i/>
          <w:iCs/>
        </w:rPr>
        <w:t>Last reviewed and a</w:t>
      </w:r>
      <w:r w:rsidR="00B45CD5" w:rsidRPr="00B45CD5">
        <w:rPr>
          <w:rFonts w:ascii="Calibri" w:hAnsi="Calibri" w:cs="Calibri"/>
          <w:i/>
          <w:iCs/>
        </w:rPr>
        <w:t>pproved by University Council on 26 June 2024</w:t>
      </w:r>
    </w:p>
    <w:p w14:paraId="72D1DC44" w14:textId="77777777" w:rsidR="00686296" w:rsidRPr="00686296" w:rsidRDefault="00686296" w:rsidP="00686296">
      <w:pPr>
        <w:spacing w:line="240" w:lineRule="auto"/>
        <w:ind w:left="1134"/>
        <w:contextualSpacing/>
        <w:jc w:val="center"/>
        <w:rPr>
          <w:rFonts w:ascii="Calibri" w:eastAsia="Times New Roman" w:hAnsi="Calibri" w:cs="Calibri"/>
          <w:i/>
          <w:iCs/>
          <w:sz w:val="28"/>
          <w:szCs w:val="28"/>
        </w:rPr>
      </w:pPr>
    </w:p>
    <w:p w14:paraId="3E657CF5" w14:textId="57836608" w:rsidR="00686296" w:rsidRPr="00686296" w:rsidRDefault="00686296" w:rsidP="00686296">
      <w:pPr>
        <w:keepNext/>
        <w:numPr>
          <w:ilvl w:val="0"/>
          <w:numId w:val="1"/>
        </w:numPr>
        <w:spacing w:line="240" w:lineRule="auto"/>
        <w:jc w:val="both"/>
        <w:outlineLvl w:val="0"/>
        <w:rPr>
          <w:rFonts w:ascii="Calibri" w:eastAsia="Times New Roman" w:hAnsi="Calibri" w:cs="Calibri"/>
          <w:sz w:val="28"/>
          <w:szCs w:val="28"/>
        </w:rPr>
      </w:pPr>
      <w:r>
        <w:rPr>
          <w:rFonts w:ascii="Calibri" w:eastAsia="Times New Roman" w:hAnsi="Calibri" w:cs="Times New Roman"/>
          <w:b/>
          <w:bCs/>
          <w:sz w:val="28"/>
          <w:szCs w:val="28"/>
        </w:rPr>
        <w:tab/>
      </w:r>
      <w:r w:rsidRPr="00686296">
        <w:rPr>
          <w:rFonts w:ascii="Calibri" w:eastAsia="Times New Roman" w:hAnsi="Calibri" w:cs="Times New Roman"/>
          <w:b/>
          <w:bCs/>
          <w:sz w:val="28"/>
          <w:szCs w:val="28"/>
        </w:rPr>
        <w:t>Finance and General Purposes Committee</w:t>
      </w:r>
    </w:p>
    <w:p w14:paraId="606FEF1E" w14:textId="77777777" w:rsidR="00F317EC" w:rsidRPr="00686296" w:rsidRDefault="00F317EC" w:rsidP="00F317EC">
      <w:pPr>
        <w:spacing w:line="240" w:lineRule="auto"/>
        <w:ind w:left="720"/>
        <w:jc w:val="both"/>
        <w:rPr>
          <w:rFonts w:ascii="Calibri" w:eastAsia="Times New Roman" w:hAnsi="Calibri" w:cs="Calibri"/>
          <w:sz w:val="24"/>
          <w:szCs w:val="24"/>
        </w:rPr>
      </w:pPr>
    </w:p>
    <w:p w14:paraId="4267A311" w14:textId="77777777" w:rsidR="00686296" w:rsidRPr="00686296" w:rsidRDefault="00686296" w:rsidP="00686296">
      <w:pPr>
        <w:numPr>
          <w:ilvl w:val="1"/>
          <w:numId w:val="1"/>
        </w:numPr>
        <w:tabs>
          <w:tab w:val="left" w:pos="1134"/>
        </w:tabs>
        <w:spacing w:line="240" w:lineRule="auto"/>
        <w:ind w:left="1134" w:hanging="567"/>
        <w:contextualSpacing/>
        <w:jc w:val="both"/>
        <w:rPr>
          <w:rFonts w:ascii="Calibri" w:eastAsia="Times New Roman" w:hAnsi="Calibri" w:cs="Calibri"/>
          <w:sz w:val="24"/>
          <w:szCs w:val="24"/>
        </w:rPr>
      </w:pPr>
      <w:r w:rsidRPr="00686296">
        <w:rPr>
          <w:rFonts w:ascii="Calibri" w:eastAsia="Times New Roman" w:hAnsi="Calibri" w:cs="Calibri"/>
          <w:sz w:val="24"/>
          <w:szCs w:val="24"/>
        </w:rPr>
        <w:t>Scope</w:t>
      </w:r>
    </w:p>
    <w:p w14:paraId="1CE7A961" w14:textId="77777777" w:rsidR="00686296" w:rsidRPr="00686296" w:rsidRDefault="00686296" w:rsidP="00686296">
      <w:pPr>
        <w:tabs>
          <w:tab w:val="left" w:pos="1134"/>
        </w:tabs>
        <w:spacing w:line="240" w:lineRule="auto"/>
        <w:ind w:left="1080"/>
        <w:jc w:val="both"/>
        <w:rPr>
          <w:rFonts w:ascii="Calibri" w:eastAsia="Times New Roman" w:hAnsi="Calibri" w:cs="Calibri"/>
          <w:sz w:val="24"/>
          <w:szCs w:val="24"/>
        </w:rPr>
      </w:pPr>
      <w:r w:rsidRPr="00686296">
        <w:rPr>
          <w:rFonts w:ascii="Calibri" w:eastAsia="Times New Roman" w:hAnsi="Calibri" w:cs="Calibri"/>
          <w:sz w:val="24"/>
          <w:szCs w:val="24"/>
        </w:rPr>
        <w:t>It is the role of the Finance and General Purposes Committee (the ‘Committee’) to advise and assist Council in respect of monitoring the financial health of the University, including the financial strategy, budget setting, annual accounts, investment activity, and consideration of capital expenditure including estates and infrastructure activity.</w:t>
      </w:r>
    </w:p>
    <w:p w14:paraId="7E59BEC8" w14:textId="77777777" w:rsidR="00686296" w:rsidRPr="00686296" w:rsidRDefault="00686296" w:rsidP="00686296">
      <w:pPr>
        <w:tabs>
          <w:tab w:val="left" w:pos="1134"/>
        </w:tabs>
        <w:spacing w:line="240" w:lineRule="auto"/>
        <w:ind w:left="792"/>
        <w:contextualSpacing/>
        <w:jc w:val="both"/>
        <w:rPr>
          <w:rFonts w:ascii="Calibri" w:eastAsia="Times New Roman" w:hAnsi="Calibri" w:cs="Calibri"/>
          <w:sz w:val="24"/>
          <w:szCs w:val="24"/>
        </w:rPr>
      </w:pPr>
    </w:p>
    <w:p w14:paraId="53F908F9" w14:textId="77777777" w:rsidR="00686296" w:rsidRPr="00686296" w:rsidRDefault="00686296" w:rsidP="00686296">
      <w:pPr>
        <w:numPr>
          <w:ilvl w:val="1"/>
          <w:numId w:val="1"/>
        </w:numPr>
        <w:tabs>
          <w:tab w:val="left" w:pos="1134"/>
        </w:tabs>
        <w:spacing w:line="240" w:lineRule="auto"/>
        <w:ind w:left="1134" w:hanging="567"/>
        <w:contextualSpacing/>
        <w:jc w:val="both"/>
        <w:rPr>
          <w:rFonts w:ascii="Calibri" w:eastAsia="Times New Roman" w:hAnsi="Calibri" w:cs="Calibri"/>
          <w:sz w:val="24"/>
          <w:szCs w:val="24"/>
        </w:rPr>
      </w:pPr>
      <w:r w:rsidRPr="00686296">
        <w:rPr>
          <w:rFonts w:ascii="Calibri" w:eastAsia="Times New Roman" w:hAnsi="Calibri" w:cs="Calibri"/>
          <w:sz w:val="24"/>
          <w:szCs w:val="24"/>
        </w:rPr>
        <w:t>Authority</w:t>
      </w:r>
    </w:p>
    <w:p w14:paraId="13DA1E4A" w14:textId="77777777" w:rsidR="00686296" w:rsidRPr="00686296" w:rsidRDefault="00686296" w:rsidP="00686296">
      <w:pPr>
        <w:tabs>
          <w:tab w:val="left" w:pos="1134"/>
        </w:tabs>
        <w:spacing w:line="240" w:lineRule="auto"/>
        <w:ind w:left="1134" w:hanging="567"/>
        <w:jc w:val="both"/>
        <w:rPr>
          <w:rFonts w:ascii="Calibri" w:eastAsia="Times New Roman" w:hAnsi="Calibri" w:cs="Calibri"/>
          <w:sz w:val="24"/>
          <w:szCs w:val="24"/>
        </w:rPr>
      </w:pPr>
      <w:r w:rsidRPr="00686296">
        <w:rPr>
          <w:rFonts w:ascii="Calibri" w:eastAsia="Times New Roman" w:hAnsi="Calibri" w:cs="Calibri"/>
          <w:sz w:val="24"/>
          <w:szCs w:val="24"/>
        </w:rPr>
        <w:tab/>
        <w:t>The Committee is authorised by Council to investigate any activity within its terms of reference. It is authorised to seek out any information it requires from any employee and all employees are directed to cooperate with requests made by the Committee.</w:t>
      </w:r>
    </w:p>
    <w:p w14:paraId="31C8AA97" w14:textId="77777777" w:rsidR="00686296" w:rsidRPr="00686296" w:rsidRDefault="00686296" w:rsidP="00686296">
      <w:pPr>
        <w:tabs>
          <w:tab w:val="left" w:pos="1134"/>
        </w:tabs>
        <w:spacing w:line="240" w:lineRule="auto"/>
        <w:ind w:left="360"/>
        <w:jc w:val="both"/>
        <w:rPr>
          <w:rFonts w:ascii="Calibri" w:eastAsia="Times New Roman" w:hAnsi="Calibri" w:cs="Calibri"/>
          <w:sz w:val="24"/>
          <w:szCs w:val="24"/>
        </w:rPr>
      </w:pPr>
    </w:p>
    <w:p w14:paraId="7A45350C" w14:textId="77777777" w:rsidR="00686296" w:rsidRPr="00686296" w:rsidRDefault="00686296" w:rsidP="00686296">
      <w:pPr>
        <w:tabs>
          <w:tab w:val="left" w:pos="1134"/>
        </w:tabs>
        <w:spacing w:line="240" w:lineRule="auto"/>
        <w:ind w:left="1080" w:hanging="513"/>
        <w:jc w:val="both"/>
        <w:rPr>
          <w:rFonts w:ascii="Calibri" w:eastAsia="Times New Roman" w:hAnsi="Calibri" w:cs="Calibri"/>
          <w:sz w:val="24"/>
          <w:szCs w:val="24"/>
        </w:rPr>
      </w:pPr>
      <w:r w:rsidRPr="00686296">
        <w:rPr>
          <w:rFonts w:ascii="Calibri" w:eastAsia="Times New Roman" w:hAnsi="Calibri" w:cs="Calibri"/>
          <w:sz w:val="24"/>
          <w:szCs w:val="24"/>
        </w:rPr>
        <w:tab/>
        <w:t>The Committee is authorised by Council to obtain outside legal or other independent professional advice and to secure the attendance of non-members with relevant experience and expertise if it considers this necessary, normally in consultation with the Vice Chancellor and/or Chair of the Council. However, it may not incur direct expenditure in this respect without the prior approval of the Chair of Council or the Vice-Chancellor, as appropriate.</w:t>
      </w:r>
    </w:p>
    <w:p w14:paraId="4C111787" w14:textId="77777777" w:rsidR="00686296" w:rsidRPr="00686296" w:rsidRDefault="00686296" w:rsidP="00686296">
      <w:pPr>
        <w:tabs>
          <w:tab w:val="left" w:pos="1134"/>
        </w:tabs>
        <w:spacing w:line="240" w:lineRule="auto"/>
        <w:ind w:left="792" w:hanging="513"/>
        <w:contextualSpacing/>
        <w:jc w:val="both"/>
        <w:rPr>
          <w:rFonts w:ascii="Calibri" w:eastAsia="Times New Roman" w:hAnsi="Calibri" w:cs="Calibri"/>
          <w:sz w:val="24"/>
          <w:szCs w:val="24"/>
        </w:rPr>
      </w:pPr>
    </w:p>
    <w:p w14:paraId="46C06DC9" w14:textId="77777777" w:rsidR="00686296" w:rsidRPr="00686296" w:rsidRDefault="00686296" w:rsidP="00686296">
      <w:pPr>
        <w:numPr>
          <w:ilvl w:val="1"/>
          <w:numId w:val="1"/>
        </w:numPr>
        <w:tabs>
          <w:tab w:val="left" w:pos="1134"/>
        </w:tabs>
        <w:spacing w:line="240" w:lineRule="auto"/>
        <w:ind w:left="1134" w:hanging="567"/>
        <w:contextualSpacing/>
        <w:jc w:val="both"/>
        <w:rPr>
          <w:rFonts w:ascii="Calibri" w:eastAsia="Times New Roman" w:hAnsi="Calibri" w:cs="Calibri"/>
          <w:sz w:val="24"/>
          <w:szCs w:val="24"/>
        </w:rPr>
      </w:pPr>
      <w:r w:rsidRPr="00686296">
        <w:rPr>
          <w:rFonts w:ascii="Calibri" w:eastAsia="Times New Roman" w:hAnsi="Calibri" w:cs="Calibri"/>
          <w:sz w:val="24"/>
          <w:szCs w:val="24"/>
        </w:rPr>
        <w:t>Clerking</w:t>
      </w:r>
    </w:p>
    <w:p w14:paraId="5F408665" w14:textId="77777777" w:rsidR="00686296" w:rsidRPr="00686296" w:rsidRDefault="00686296" w:rsidP="00686296">
      <w:pPr>
        <w:tabs>
          <w:tab w:val="left" w:pos="1134"/>
        </w:tabs>
        <w:spacing w:line="240" w:lineRule="auto"/>
        <w:ind w:left="1080" w:hanging="513"/>
        <w:jc w:val="both"/>
        <w:rPr>
          <w:rFonts w:ascii="Calibri" w:eastAsia="Times New Roman" w:hAnsi="Calibri" w:cs="Calibri"/>
          <w:sz w:val="24"/>
          <w:szCs w:val="24"/>
        </w:rPr>
      </w:pPr>
      <w:r w:rsidRPr="00686296">
        <w:rPr>
          <w:rFonts w:ascii="Calibri" w:eastAsia="Times New Roman" w:hAnsi="Calibri" w:cs="Calibri"/>
          <w:sz w:val="24"/>
          <w:szCs w:val="24"/>
        </w:rPr>
        <w:tab/>
        <w:t>The clerk to the Committee will be the Secretary to Council, or their nominee.</w:t>
      </w:r>
    </w:p>
    <w:p w14:paraId="4970AA61" w14:textId="77777777" w:rsidR="00686296" w:rsidRPr="00686296" w:rsidRDefault="00686296" w:rsidP="00686296">
      <w:pPr>
        <w:tabs>
          <w:tab w:val="left" w:pos="1134"/>
        </w:tabs>
        <w:spacing w:line="240" w:lineRule="auto"/>
        <w:ind w:left="792" w:hanging="513"/>
        <w:contextualSpacing/>
        <w:jc w:val="both"/>
        <w:rPr>
          <w:rFonts w:ascii="Calibri" w:eastAsia="Times New Roman" w:hAnsi="Calibri" w:cs="Calibri"/>
          <w:sz w:val="24"/>
          <w:szCs w:val="24"/>
        </w:rPr>
      </w:pPr>
    </w:p>
    <w:p w14:paraId="02453557" w14:textId="77777777" w:rsidR="00686296" w:rsidRPr="00686296" w:rsidRDefault="00686296" w:rsidP="00686296">
      <w:pPr>
        <w:numPr>
          <w:ilvl w:val="1"/>
          <w:numId w:val="1"/>
        </w:numPr>
        <w:tabs>
          <w:tab w:val="left" w:pos="1134"/>
        </w:tabs>
        <w:spacing w:line="240" w:lineRule="auto"/>
        <w:ind w:left="1134" w:hanging="567"/>
        <w:contextualSpacing/>
        <w:jc w:val="both"/>
        <w:rPr>
          <w:rFonts w:ascii="Calibri" w:eastAsia="Times New Roman" w:hAnsi="Calibri" w:cs="Calibri"/>
          <w:sz w:val="24"/>
          <w:szCs w:val="24"/>
        </w:rPr>
      </w:pPr>
      <w:r w:rsidRPr="00686296">
        <w:rPr>
          <w:rFonts w:ascii="Calibri" w:eastAsia="Times New Roman" w:hAnsi="Calibri" w:cs="Calibri"/>
          <w:sz w:val="24"/>
          <w:szCs w:val="24"/>
        </w:rPr>
        <w:t>Review</w:t>
      </w:r>
    </w:p>
    <w:p w14:paraId="341C05E0" w14:textId="77777777" w:rsidR="00686296" w:rsidRPr="00686296" w:rsidRDefault="00686296" w:rsidP="00686296">
      <w:pPr>
        <w:tabs>
          <w:tab w:val="left" w:pos="1134"/>
        </w:tabs>
        <w:spacing w:line="240" w:lineRule="auto"/>
        <w:ind w:left="1080" w:hanging="513"/>
        <w:jc w:val="both"/>
        <w:rPr>
          <w:rFonts w:ascii="Calibri" w:eastAsia="Times New Roman" w:hAnsi="Calibri" w:cs="Calibri"/>
          <w:sz w:val="24"/>
          <w:szCs w:val="24"/>
        </w:rPr>
      </w:pPr>
      <w:r w:rsidRPr="00686296">
        <w:rPr>
          <w:rFonts w:ascii="Calibri" w:eastAsia="Times New Roman" w:hAnsi="Calibri" w:cs="Calibri"/>
          <w:sz w:val="24"/>
          <w:szCs w:val="24"/>
        </w:rPr>
        <w:tab/>
        <w:t>The Committee should periodically (and at a minimum of every four years) undertake a review of its terms of reference and its own effectiveness and recommend any necessary changes to Council.</w:t>
      </w:r>
    </w:p>
    <w:p w14:paraId="321A2FDB" w14:textId="77777777" w:rsidR="00686296" w:rsidRPr="00686296" w:rsidRDefault="00686296" w:rsidP="00686296">
      <w:pPr>
        <w:tabs>
          <w:tab w:val="left" w:pos="1134"/>
        </w:tabs>
        <w:spacing w:line="240" w:lineRule="auto"/>
        <w:ind w:left="792" w:hanging="513"/>
        <w:contextualSpacing/>
        <w:jc w:val="both"/>
        <w:rPr>
          <w:rFonts w:ascii="Calibri" w:eastAsia="Times New Roman" w:hAnsi="Calibri" w:cs="Calibri"/>
          <w:sz w:val="24"/>
          <w:szCs w:val="24"/>
        </w:rPr>
      </w:pPr>
    </w:p>
    <w:p w14:paraId="31AAA7FF" w14:textId="77777777" w:rsidR="00686296" w:rsidRPr="00686296" w:rsidRDefault="00686296" w:rsidP="00686296">
      <w:pPr>
        <w:numPr>
          <w:ilvl w:val="1"/>
          <w:numId w:val="1"/>
        </w:numPr>
        <w:tabs>
          <w:tab w:val="left" w:pos="1134"/>
        </w:tabs>
        <w:spacing w:line="240" w:lineRule="auto"/>
        <w:ind w:left="1134" w:hanging="567"/>
        <w:contextualSpacing/>
        <w:jc w:val="both"/>
        <w:rPr>
          <w:rFonts w:ascii="Calibri" w:eastAsia="Times New Roman" w:hAnsi="Calibri" w:cs="Calibri"/>
          <w:sz w:val="24"/>
          <w:szCs w:val="24"/>
        </w:rPr>
      </w:pPr>
      <w:r w:rsidRPr="00686296">
        <w:rPr>
          <w:rFonts w:ascii="Calibri" w:eastAsia="Times New Roman" w:hAnsi="Calibri" w:cs="Calibri"/>
          <w:sz w:val="24"/>
          <w:szCs w:val="24"/>
        </w:rPr>
        <w:t>Minutes</w:t>
      </w:r>
    </w:p>
    <w:p w14:paraId="7AFBA764" w14:textId="77777777" w:rsidR="00686296" w:rsidRPr="00686296" w:rsidRDefault="00686296" w:rsidP="00686296">
      <w:pPr>
        <w:tabs>
          <w:tab w:val="left" w:pos="1134"/>
        </w:tabs>
        <w:spacing w:line="240" w:lineRule="auto"/>
        <w:ind w:left="1080" w:hanging="513"/>
        <w:jc w:val="both"/>
        <w:rPr>
          <w:rFonts w:ascii="Calibri" w:eastAsia="Times New Roman" w:hAnsi="Calibri" w:cs="Calibri"/>
          <w:sz w:val="24"/>
          <w:szCs w:val="24"/>
        </w:rPr>
      </w:pPr>
      <w:r w:rsidRPr="00686296">
        <w:rPr>
          <w:rFonts w:ascii="Calibri" w:eastAsia="Times New Roman" w:hAnsi="Calibri" w:cs="Calibri"/>
          <w:sz w:val="24"/>
          <w:szCs w:val="24"/>
        </w:rPr>
        <w:tab/>
        <w:t>The minutes (or a report) of meetings of the Committee will be circulated to all Governors.</w:t>
      </w:r>
    </w:p>
    <w:p w14:paraId="2351ABA7" w14:textId="77777777" w:rsidR="00686296" w:rsidRPr="00686296" w:rsidRDefault="00686296" w:rsidP="00686296">
      <w:pPr>
        <w:tabs>
          <w:tab w:val="left" w:pos="1134"/>
        </w:tabs>
        <w:spacing w:line="240" w:lineRule="auto"/>
        <w:ind w:left="1134" w:hanging="513"/>
        <w:contextualSpacing/>
        <w:jc w:val="both"/>
        <w:rPr>
          <w:rFonts w:ascii="Calibri" w:eastAsia="Times New Roman" w:hAnsi="Calibri" w:cs="Calibri"/>
          <w:sz w:val="24"/>
          <w:szCs w:val="24"/>
        </w:rPr>
      </w:pPr>
    </w:p>
    <w:p w14:paraId="0F32F71E" w14:textId="77777777" w:rsidR="00686296" w:rsidRPr="00686296" w:rsidRDefault="00686296" w:rsidP="00686296">
      <w:pPr>
        <w:numPr>
          <w:ilvl w:val="1"/>
          <w:numId w:val="1"/>
        </w:numPr>
        <w:tabs>
          <w:tab w:val="left" w:pos="1134"/>
        </w:tabs>
        <w:spacing w:line="240" w:lineRule="auto"/>
        <w:ind w:left="1134" w:hanging="513"/>
        <w:contextualSpacing/>
        <w:jc w:val="both"/>
        <w:rPr>
          <w:rFonts w:ascii="Calibri" w:eastAsia="Times New Roman" w:hAnsi="Calibri" w:cs="Calibri"/>
          <w:sz w:val="24"/>
          <w:szCs w:val="24"/>
        </w:rPr>
      </w:pPr>
      <w:r w:rsidRPr="00686296">
        <w:rPr>
          <w:rFonts w:ascii="Calibri" w:eastAsia="Times New Roman" w:hAnsi="Calibri" w:cs="Times New Roman"/>
          <w:sz w:val="24"/>
          <w:szCs w:val="24"/>
        </w:rPr>
        <w:t>Membership</w:t>
      </w:r>
    </w:p>
    <w:p w14:paraId="313EFE62" w14:textId="77777777" w:rsidR="00686296" w:rsidRPr="00686296" w:rsidRDefault="00686296" w:rsidP="00686296">
      <w:pPr>
        <w:tabs>
          <w:tab w:val="left" w:pos="1134"/>
        </w:tabs>
        <w:spacing w:line="240" w:lineRule="auto"/>
        <w:ind w:left="1134" w:hanging="513"/>
        <w:jc w:val="both"/>
        <w:rPr>
          <w:rFonts w:ascii="Calibri" w:eastAsia="Times New Roman" w:hAnsi="Calibri" w:cs="Calibri"/>
          <w:sz w:val="24"/>
          <w:szCs w:val="24"/>
        </w:rPr>
      </w:pPr>
      <w:r w:rsidRPr="00686296">
        <w:rPr>
          <w:rFonts w:ascii="Calibri" w:eastAsia="Times New Roman" w:hAnsi="Calibri" w:cs="Calibri"/>
          <w:sz w:val="24"/>
          <w:szCs w:val="24"/>
        </w:rPr>
        <w:tab/>
        <w:t xml:space="preserve">The Committee must have no fewer than five members including the Vice-Chancellor, the majority of whom must be independent Governors .  </w:t>
      </w:r>
    </w:p>
    <w:p w14:paraId="58B1D030" w14:textId="77777777" w:rsidR="00686296" w:rsidRPr="00686296" w:rsidRDefault="00686296" w:rsidP="00686296">
      <w:pPr>
        <w:tabs>
          <w:tab w:val="left" w:pos="1134"/>
        </w:tabs>
        <w:spacing w:line="240" w:lineRule="auto"/>
        <w:ind w:left="1440" w:hanging="513"/>
        <w:jc w:val="both"/>
        <w:rPr>
          <w:rFonts w:ascii="Calibri" w:eastAsia="Times New Roman" w:hAnsi="Calibri" w:cs="Calibri"/>
          <w:sz w:val="24"/>
          <w:szCs w:val="24"/>
        </w:rPr>
      </w:pPr>
    </w:p>
    <w:p w14:paraId="388CB26E" w14:textId="77777777" w:rsidR="00686296" w:rsidRPr="00686296" w:rsidRDefault="00686296" w:rsidP="00686296">
      <w:pPr>
        <w:numPr>
          <w:ilvl w:val="1"/>
          <w:numId w:val="1"/>
        </w:numPr>
        <w:tabs>
          <w:tab w:val="left" w:pos="1134"/>
        </w:tabs>
        <w:spacing w:line="240" w:lineRule="auto"/>
        <w:ind w:left="1134" w:hanging="513"/>
        <w:contextualSpacing/>
        <w:jc w:val="both"/>
        <w:rPr>
          <w:rFonts w:ascii="Calibri" w:eastAsia="Times New Roman" w:hAnsi="Calibri" w:cs="Calibri"/>
          <w:sz w:val="24"/>
          <w:szCs w:val="24"/>
        </w:rPr>
      </w:pPr>
      <w:r w:rsidRPr="00686296">
        <w:rPr>
          <w:rFonts w:ascii="Calibri" w:eastAsia="Times New Roman" w:hAnsi="Calibri" w:cs="Calibri"/>
          <w:sz w:val="24"/>
          <w:szCs w:val="24"/>
        </w:rPr>
        <w:t>Quorum</w:t>
      </w:r>
    </w:p>
    <w:p w14:paraId="08A5FC82" w14:textId="77777777" w:rsidR="00686296" w:rsidRPr="00686296" w:rsidRDefault="00686296" w:rsidP="00686296">
      <w:pPr>
        <w:tabs>
          <w:tab w:val="left" w:pos="1134"/>
        </w:tabs>
        <w:spacing w:line="240" w:lineRule="auto"/>
        <w:ind w:left="284" w:hanging="513"/>
        <w:jc w:val="both"/>
        <w:rPr>
          <w:rFonts w:ascii="Calibri" w:eastAsia="Times New Roman" w:hAnsi="Calibri" w:cs="Calibri"/>
          <w:sz w:val="24"/>
          <w:szCs w:val="24"/>
        </w:rPr>
      </w:pPr>
      <w:r w:rsidRPr="00686296">
        <w:rPr>
          <w:rFonts w:ascii="Calibri" w:eastAsia="Times New Roman" w:hAnsi="Calibri" w:cs="Calibri"/>
          <w:sz w:val="24"/>
          <w:szCs w:val="24"/>
        </w:rPr>
        <w:tab/>
      </w:r>
      <w:r w:rsidRPr="00686296">
        <w:rPr>
          <w:rFonts w:ascii="Calibri" w:eastAsia="Times New Roman" w:hAnsi="Calibri" w:cs="Calibri"/>
          <w:sz w:val="24"/>
          <w:szCs w:val="24"/>
        </w:rPr>
        <w:tab/>
        <w:t>The quorum for meetings of the Committee shall be two independent Governors</w:t>
      </w:r>
    </w:p>
    <w:p w14:paraId="62D4B2D5" w14:textId="77777777" w:rsidR="00686296" w:rsidRPr="00686296" w:rsidRDefault="00686296" w:rsidP="00686296">
      <w:pPr>
        <w:tabs>
          <w:tab w:val="left" w:pos="1134"/>
        </w:tabs>
        <w:spacing w:line="240" w:lineRule="auto"/>
        <w:ind w:left="1134" w:hanging="513"/>
        <w:contextualSpacing/>
        <w:jc w:val="both"/>
        <w:rPr>
          <w:rFonts w:ascii="Calibri" w:eastAsia="Times New Roman" w:hAnsi="Calibri" w:cs="Calibri"/>
          <w:sz w:val="24"/>
          <w:szCs w:val="24"/>
        </w:rPr>
      </w:pPr>
    </w:p>
    <w:p w14:paraId="14DD8AA5" w14:textId="77777777" w:rsidR="00686296" w:rsidRPr="00686296" w:rsidRDefault="00686296" w:rsidP="00686296">
      <w:pPr>
        <w:numPr>
          <w:ilvl w:val="1"/>
          <w:numId w:val="1"/>
        </w:numPr>
        <w:tabs>
          <w:tab w:val="left" w:pos="1134"/>
        </w:tabs>
        <w:spacing w:line="240" w:lineRule="auto"/>
        <w:ind w:left="1134" w:hanging="513"/>
        <w:contextualSpacing/>
        <w:jc w:val="both"/>
        <w:rPr>
          <w:rFonts w:ascii="Calibri" w:eastAsia="Times New Roman" w:hAnsi="Calibri" w:cs="Calibri"/>
          <w:sz w:val="24"/>
          <w:szCs w:val="24"/>
        </w:rPr>
      </w:pPr>
      <w:r w:rsidRPr="00686296">
        <w:rPr>
          <w:rFonts w:ascii="Calibri" w:eastAsia="Times New Roman" w:hAnsi="Calibri" w:cs="Calibri"/>
          <w:sz w:val="24"/>
          <w:szCs w:val="24"/>
        </w:rPr>
        <w:t>Frequency</w:t>
      </w:r>
    </w:p>
    <w:p w14:paraId="121C99AF" w14:textId="77777777" w:rsidR="00686296" w:rsidRPr="00686296" w:rsidRDefault="00686296" w:rsidP="00686296">
      <w:pPr>
        <w:tabs>
          <w:tab w:val="left" w:pos="1134"/>
        </w:tabs>
        <w:spacing w:line="240" w:lineRule="auto"/>
        <w:ind w:left="284" w:hanging="513"/>
        <w:jc w:val="both"/>
        <w:rPr>
          <w:rFonts w:ascii="Calibri" w:eastAsia="Times New Roman" w:hAnsi="Calibri" w:cs="Calibri"/>
          <w:sz w:val="24"/>
          <w:szCs w:val="24"/>
        </w:rPr>
      </w:pPr>
      <w:r w:rsidRPr="00686296">
        <w:rPr>
          <w:rFonts w:ascii="Calibri" w:eastAsia="Times New Roman" w:hAnsi="Calibri" w:cs="Calibri"/>
          <w:sz w:val="24"/>
          <w:szCs w:val="24"/>
        </w:rPr>
        <w:tab/>
      </w:r>
      <w:r w:rsidRPr="00686296">
        <w:rPr>
          <w:rFonts w:ascii="Calibri" w:eastAsia="Times New Roman" w:hAnsi="Calibri" w:cs="Calibri"/>
          <w:sz w:val="24"/>
          <w:szCs w:val="24"/>
        </w:rPr>
        <w:tab/>
        <w:t xml:space="preserve">Meetings shall normally be held no fewer than three times each academic year. </w:t>
      </w:r>
    </w:p>
    <w:p w14:paraId="6E409BD3" w14:textId="77777777" w:rsidR="00686296" w:rsidRPr="00686296" w:rsidRDefault="00686296" w:rsidP="00686296">
      <w:pPr>
        <w:tabs>
          <w:tab w:val="left" w:pos="1134"/>
        </w:tabs>
        <w:spacing w:line="240" w:lineRule="auto"/>
        <w:ind w:left="1134" w:hanging="513"/>
        <w:contextualSpacing/>
        <w:jc w:val="both"/>
        <w:rPr>
          <w:rFonts w:ascii="Calibri" w:eastAsia="Times New Roman" w:hAnsi="Calibri" w:cs="Calibri"/>
          <w:sz w:val="24"/>
          <w:szCs w:val="24"/>
        </w:rPr>
      </w:pPr>
    </w:p>
    <w:p w14:paraId="3FA6D1E8" w14:textId="77777777" w:rsidR="00686296" w:rsidRPr="00B679C7" w:rsidRDefault="00686296" w:rsidP="00686296">
      <w:pPr>
        <w:numPr>
          <w:ilvl w:val="1"/>
          <w:numId w:val="1"/>
        </w:numPr>
        <w:tabs>
          <w:tab w:val="left" w:pos="1134"/>
        </w:tabs>
        <w:spacing w:line="240" w:lineRule="auto"/>
        <w:ind w:left="1134" w:hanging="513"/>
        <w:contextualSpacing/>
        <w:jc w:val="both"/>
        <w:rPr>
          <w:rFonts w:ascii="Calibri" w:eastAsia="Times New Roman" w:hAnsi="Calibri" w:cs="Calibri"/>
          <w:sz w:val="24"/>
          <w:szCs w:val="24"/>
        </w:rPr>
      </w:pPr>
      <w:r w:rsidRPr="00B679C7">
        <w:rPr>
          <w:rFonts w:ascii="Calibri" w:eastAsia="Times New Roman" w:hAnsi="Calibri" w:cs="Calibri"/>
          <w:sz w:val="24"/>
          <w:szCs w:val="24"/>
        </w:rPr>
        <w:t>Attendance at meetings</w:t>
      </w:r>
    </w:p>
    <w:p w14:paraId="7DCF8C9E" w14:textId="77777777" w:rsidR="00686296" w:rsidRPr="00B679C7" w:rsidRDefault="00686296" w:rsidP="00686296">
      <w:pPr>
        <w:tabs>
          <w:tab w:val="left" w:pos="1134"/>
        </w:tabs>
        <w:spacing w:line="240" w:lineRule="auto"/>
        <w:ind w:left="1134" w:hanging="513"/>
        <w:jc w:val="both"/>
        <w:rPr>
          <w:rFonts w:ascii="Calibri" w:eastAsia="Times New Roman" w:hAnsi="Calibri" w:cs="Calibri"/>
          <w:sz w:val="24"/>
          <w:szCs w:val="24"/>
        </w:rPr>
      </w:pPr>
      <w:r w:rsidRPr="00B679C7">
        <w:rPr>
          <w:rFonts w:ascii="Calibri" w:eastAsia="Times New Roman" w:hAnsi="Calibri" w:cs="Calibri"/>
          <w:sz w:val="24"/>
          <w:szCs w:val="24"/>
        </w:rPr>
        <w:lastRenderedPageBreak/>
        <w:tab/>
        <w:t>The Committee has the right, whenever it is satisfied that this is appropriate, to go into confidential session and exclude any or all other participants and observers other than the Committee Clerk.</w:t>
      </w:r>
    </w:p>
    <w:p w14:paraId="1C63B7E9" w14:textId="77777777" w:rsidR="00A80F05" w:rsidRPr="00B679C7" w:rsidRDefault="00A80F05" w:rsidP="00A80F05">
      <w:pPr>
        <w:numPr>
          <w:ilvl w:val="1"/>
          <w:numId w:val="1"/>
        </w:numPr>
        <w:tabs>
          <w:tab w:val="left" w:pos="1134"/>
        </w:tabs>
        <w:spacing w:line="240" w:lineRule="auto"/>
        <w:ind w:left="1134" w:hanging="513"/>
        <w:contextualSpacing/>
        <w:jc w:val="both"/>
        <w:rPr>
          <w:rFonts w:ascii="Calibri" w:hAnsi="Calibri" w:cs="Calibri"/>
          <w:sz w:val="23"/>
          <w:szCs w:val="23"/>
        </w:rPr>
      </w:pPr>
      <w:r w:rsidRPr="00B679C7">
        <w:rPr>
          <w:rFonts w:ascii="Calibri" w:hAnsi="Calibri" w:cs="Times New Roman"/>
          <w:sz w:val="23"/>
          <w:szCs w:val="23"/>
        </w:rPr>
        <w:t>The Terms of Reference of the Committee are:</w:t>
      </w:r>
    </w:p>
    <w:p w14:paraId="389323B0" w14:textId="77777777" w:rsidR="00A80F05" w:rsidRPr="00B679C7" w:rsidRDefault="00A80F05" w:rsidP="00A80F05">
      <w:pPr>
        <w:tabs>
          <w:tab w:val="left" w:pos="1134"/>
        </w:tabs>
        <w:rPr>
          <w:rFonts w:ascii="Calibri" w:hAnsi="Calibri" w:cs="Calibri"/>
          <w:sz w:val="23"/>
          <w:szCs w:val="23"/>
        </w:rPr>
      </w:pPr>
    </w:p>
    <w:p w14:paraId="7FCCD9B2"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consider the long-term strategic direction of the University and make recommendations to the Council; - in doing so, the Committee will have due regard to Condition D: Financial Viability and Sustainability of the Office for Students Regulatory Framework;</w:t>
      </w:r>
    </w:p>
    <w:p w14:paraId="70C87BCB"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 xml:space="preserve">To consider financial strategy and make recommendations to the Council; </w:t>
      </w:r>
    </w:p>
    <w:p w14:paraId="56421DF2"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advise and report to the Council on matters of significant capital expenditure as defined by the Financial Regulations;</w:t>
      </w:r>
    </w:p>
    <w:p w14:paraId="4183A8DA"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approve the annual estimates prior to the commencement of the Financial Year, and to approve significant amendments to Estimates caused by unforeseen circumstances during the Financial Year;</w:t>
      </w:r>
    </w:p>
    <w:p w14:paraId="72F18829"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consider the Accounts at the end of the Financial Year and recommend them to the Council;</w:t>
      </w:r>
    </w:p>
    <w:p w14:paraId="37018C59"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 xml:space="preserve">To consider the annual Estimates and Accounts of Newman </w:t>
      </w:r>
      <w:proofErr w:type="spellStart"/>
      <w:r w:rsidRPr="00B679C7">
        <w:rPr>
          <w:rFonts w:ascii="Calibri" w:hAnsi="Calibri" w:cs="Calibri"/>
          <w:sz w:val="23"/>
          <w:szCs w:val="23"/>
        </w:rPr>
        <w:t>Firmtrust</w:t>
      </w:r>
      <w:proofErr w:type="spellEnd"/>
      <w:r w:rsidRPr="00B679C7">
        <w:rPr>
          <w:rFonts w:ascii="Calibri" w:hAnsi="Calibri" w:cs="Calibri"/>
          <w:sz w:val="23"/>
          <w:szCs w:val="23"/>
        </w:rPr>
        <w:t xml:space="preserve"> Ltd, making recommendations to the Directors of </w:t>
      </w:r>
      <w:proofErr w:type="spellStart"/>
      <w:r w:rsidRPr="00B679C7">
        <w:rPr>
          <w:rFonts w:ascii="Calibri" w:hAnsi="Calibri" w:cs="Calibri"/>
          <w:sz w:val="23"/>
          <w:szCs w:val="23"/>
        </w:rPr>
        <w:t>Firmtrust</w:t>
      </w:r>
      <w:proofErr w:type="spellEnd"/>
      <w:r w:rsidRPr="00B679C7">
        <w:rPr>
          <w:rFonts w:ascii="Calibri" w:hAnsi="Calibri" w:cs="Calibri"/>
          <w:sz w:val="23"/>
          <w:szCs w:val="23"/>
        </w:rPr>
        <w:t xml:space="preserve"> as appropriate;</w:t>
      </w:r>
    </w:p>
    <w:p w14:paraId="51720B1F"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review and discuss the annual Accounts of Newman Students’ Union;</w:t>
      </w:r>
    </w:p>
    <w:p w14:paraId="1F218778"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advise the Council on matters relating to the framework for the pay and conditions of service of all staff other than the senior members of staff;</w:t>
      </w:r>
    </w:p>
    <w:p w14:paraId="6456CCF3"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consider regular updates and advise the Council on people related issues, including Newman’s staffing, policies and changes to employment law and the People Sub Strategy;</w:t>
      </w:r>
    </w:p>
    <w:p w14:paraId="7101759E"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review and monitor plans for the development of the University estate and buildings, to safeguard the University’s assets and to approve any related expenditure;</w:t>
      </w:r>
    </w:p>
    <w:p w14:paraId="600A2B74"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make recommendations to Council as appropriate, and;</w:t>
      </w:r>
    </w:p>
    <w:p w14:paraId="0131E121" w14:textId="77777777" w:rsidR="00A80F05" w:rsidRPr="00B679C7" w:rsidRDefault="00A80F05" w:rsidP="00A80F05">
      <w:pPr>
        <w:numPr>
          <w:ilvl w:val="2"/>
          <w:numId w:val="3"/>
        </w:numPr>
        <w:spacing w:after="240" w:line="240" w:lineRule="auto"/>
        <w:ind w:left="1701" w:hanging="283"/>
        <w:jc w:val="both"/>
        <w:rPr>
          <w:rFonts w:ascii="Calibri" w:hAnsi="Calibri" w:cs="Calibri"/>
          <w:sz w:val="23"/>
          <w:szCs w:val="23"/>
        </w:rPr>
      </w:pPr>
      <w:r w:rsidRPr="00B679C7">
        <w:rPr>
          <w:rFonts w:ascii="Calibri" w:hAnsi="Calibri" w:cs="Calibri"/>
          <w:sz w:val="23"/>
          <w:szCs w:val="23"/>
        </w:rPr>
        <w:t>To carry out an annual review of the Committee’s effectiveness.</w:t>
      </w:r>
    </w:p>
    <w:p w14:paraId="12E3BB5A" w14:textId="77777777" w:rsidR="008B7167" w:rsidRDefault="008B7167"/>
    <w:sectPr w:rsidR="008B7167" w:rsidSect="0056125F">
      <w:head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C492" w14:textId="77777777" w:rsidR="00FE5FB4" w:rsidRDefault="00FE5FB4" w:rsidP="0083303A">
      <w:pPr>
        <w:spacing w:line="240" w:lineRule="auto"/>
      </w:pPr>
      <w:r>
        <w:separator/>
      </w:r>
    </w:p>
  </w:endnote>
  <w:endnote w:type="continuationSeparator" w:id="0">
    <w:p w14:paraId="00893545" w14:textId="77777777" w:rsidR="00FE5FB4" w:rsidRDefault="00FE5FB4" w:rsidP="0083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F774" w14:textId="77777777" w:rsidR="00FE5FB4" w:rsidRDefault="00FE5FB4" w:rsidP="0083303A">
      <w:pPr>
        <w:spacing w:line="240" w:lineRule="auto"/>
      </w:pPr>
      <w:r>
        <w:separator/>
      </w:r>
    </w:p>
  </w:footnote>
  <w:footnote w:type="continuationSeparator" w:id="0">
    <w:p w14:paraId="7EF5CCCC" w14:textId="77777777" w:rsidR="00FE5FB4" w:rsidRDefault="00FE5FB4" w:rsidP="0083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BCA2" w14:textId="4776CEF9" w:rsidR="0083303A" w:rsidRPr="0083303A" w:rsidRDefault="0083303A" w:rsidP="008330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121"/>
    <w:multiLevelType w:val="multilevel"/>
    <w:tmpl w:val="0B96E226"/>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A150A5"/>
    <w:multiLevelType w:val="hybridMultilevel"/>
    <w:tmpl w:val="0CF2DE7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EE17FE2"/>
    <w:multiLevelType w:val="multilevel"/>
    <w:tmpl w:val="9CF4B0A4"/>
    <w:lvl w:ilvl="0">
      <w:start w:val="18"/>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0071855">
    <w:abstractNumId w:val="2"/>
  </w:num>
  <w:num w:numId="2" w16cid:durableId="974334954">
    <w:abstractNumId w:val="1"/>
  </w:num>
  <w:num w:numId="3" w16cid:durableId="89863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96"/>
    <w:rsid w:val="000555D5"/>
    <w:rsid w:val="0016775A"/>
    <w:rsid w:val="002E7D34"/>
    <w:rsid w:val="00513860"/>
    <w:rsid w:val="0056125F"/>
    <w:rsid w:val="00686296"/>
    <w:rsid w:val="007C1FD0"/>
    <w:rsid w:val="0083303A"/>
    <w:rsid w:val="008B7167"/>
    <w:rsid w:val="009172F8"/>
    <w:rsid w:val="00A60C8F"/>
    <w:rsid w:val="00A80F05"/>
    <w:rsid w:val="00AE6940"/>
    <w:rsid w:val="00B45CD5"/>
    <w:rsid w:val="00B679C7"/>
    <w:rsid w:val="00C10A12"/>
    <w:rsid w:val="00D0178D"/>
    <w:rsid w:val="00E407F4"/>
    <w:rsid w:val="00EF32E7"/>
    <w:rsid w:val="00F004FC"/>
    <w:rsid w:val="00F265AF"/>
    <w:rsid w:val="00F317EC"/>
    <w:rsid w:val="00F93BDF"/>
    <w:rsid w:val="00F97D32"/>
    <w:rsid w:val="00FE5F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EB25"/>
  <w15:chartTrackingRefBased/>
  <w15:docId w15:val="{CA314EB8-070E-4655-93C0-9B214A76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D5"/>
  </w:style>
  <w:style w:type="paragraph" w:styleId="Heading1">
    <w:name w:val="heading 1"/>
    <w:basedOn w:val="Normal"/>
    <w:next w:val="Normal"/>
    <w:link w:val="Heading1Char"/>
    <w:uiPriority w:val="9"/>
    <w:qFormat/>
    <w:rsid w:val="000555D5"/>
    <w:pPr>
      <w:keepNext/>
      <w:keepLines/>
      <w:spacing w:before="240"/>
      <w:outlineLvl w:val="0"/>
    </w:pPr>
    <w:rPr>
      <w:rFonts w:asciiTheme="majorHAnsi" w:eastAsiaTheme="majorEastAsia" w:hAnsiTheme="majorHAnsi" w:cstheme="majorBidi"/>
      <w:b/>
      <w:color w:val="006379" w:themeColor="text2"/>
      <w:sz w:val="32"/>
      <w:szCs w:val="32"/>
    </w:rPr>
  </w:style>
  <w:style w:type="paragraph" w:styleId="Heading2">
    <w:name w:val="heading 2"/>
    <w:basedOn w:val="Normal"/>
    <w:next w:val="Normal"/>
    <w:link w:val="Heading2Char"/>
    <w:uiPriority w:val="9"/>
    <w:unhideWhenUsed/>
    <w:qFormat/>
    <w:rsid w:val="000555D5"/>
    <w:pPr>
      <w:keepNext/>
      <w:keepLines/>
      <w:spacing w:before="40"/>
      <w:outlineLvl w:val="1"/>
    </w:pPr>
    <w:rPr>
      <w:rFonts w:asciiTheme="majorHAnsi" w:eastAsiaTheme="majorEastAsia" w:hAnsiTheme="majorHAnsi" w:cstheme="majorBidi"/>
      <w:color w:val="006379" w:themeColor="text2"/>
      <w:sz w:val="26"/>
      <w:szCs w:val="26"/>
    </w:rPr>
  </w:style>
  <w:style w:type="paragraph" w:styleId="Heading3">
    <w:name w:val="heading 3"/>
    <w:basedOn w:val="Normal"/>
    <w:next w:val="Normal"/>
    <w:link w:val="Heading3Char"/>
    <w:uiPriority w:val="9"/>
    <w:semiHidden/>
    <w:unhideWhenUsed/>
    <w:qFormat/>
    <w:rsid w:val="000555D5"/>
    <w:pPr>
      <w:keepNext/>
      <w:keepLines/>
      <w:spacing w:before="40"/>
      <w:outlineLvl w:val="2"/>
    </w:pPr>
    <w:rPr>
      <w:rFonts w:asciiTheme="majorHAnsi" w:eastAsiaTheme="majorEastAsia" w:hAnsiTheme="majorHAnsi" w:cstheme="majorBidi"/>
      <w:color w:val="006379" w:themeColor="text2"/>
      <w:sz w:val="24"/>
      <w:szCs w:val="24"/>
    </w:rPr>
  </w:style>
  <w:style w:type="paragraph" w:styleId="Heading4">
    <w:name w:val="heading 4"/>
    <w:basedOn w:val="Normal"/>
    <w:next w:val="Normal"/>
    <w:link w:val="Heading4Char"/>
    <w:uiPriority w:val="9"/>
    <w:semiHidden/>
    <w:unhideWhenUsed/>
    <w:qFormat/>
    <w:rsid w:val="00686296"/>
    <w:pPr>
      <w:keepNext/>
      <w:keepLines/>
      <w:spacing w:before="80" w:after="40"/>
      <w:outlineLvl w:val="3"/>
    </w:pPr>
    <w:rPr>
      <w:rFonts w:eastAsiaTheme="majorEastAsia" w:cstheme="majorBidi"/>
      <w:i/>
      <w:iCs/>
      <w:color w:val="839928" w:themeColor="accent1" w:themeShade="BF"/>
    </w:rPr>
  </w:style>
  <w:style w:type="paragraph" w:styleId="Heading5">
    <w:name w:val="heading 5"/>
    <w:basedOn w:val="Normal"/>
    <w:next w:val="Normal"/>
    <w:link w:val="Heading5Char"/>
    <w:uiPriority w:val="9"/>
    <w:semiHidden/>
    <w:unhideWhenUsed/>
    <w:qFormat/>
    <w:rsid w:val="00686296"/>
    <w:pPr>
      <w:keepNext/>
      <w:keepLines/>
      <w:spacing w:before="80" w:after="40"/>
      <w:outlineLvl w:val="4"/>
    </w:pPr>
    <w:rPr>
      <w:rFonts w:eastAsiaTheme="majorEastAsia" w:cstheme="majorBidi"/>
      <w:color w:val="839928" w:themeColor="accent1" w:themeShade="BF"/>
    </w:rPr>
  </w:style>
  <w:style w:type="paragraph" w:styleId="Heading6">
    <w:name w:val="heading 6"/>
    <w:basedOn w:val="Normal"/>
    <w:next w:val="Normal"/>
    <w:link w:val="Heading6Char"/>
    <w:uiPriority w:val="9"/>
    <w:semiHidden/>
    <w:unhideWhenUsed/>
    <w:qFormat/>
    <w:rsid w:val="006862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2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2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2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5D5"/>
    <w:rPr>
      <w:rFonts w:asciiTheme="majorHAnsi" w:eastAsiaTheme="majorEastAsia" w:hAnsiTheme="majorHAnsi" w:cstheme="majorBidi"/>
      <w:b/>
      <w:color w:val="006379" w:themeColor="text2"/>
      <w:sz w:val="32"/>
      <w:szCs w:val="32"/>
    </w:rPr>
  </w:style>
  <w:style w:type="character" w:customStyle="1" w:styleId="Heading2Char">
    <w:name w:val="Heading 2 Char"/>
    <w:basedOn w:val="DefaultParagraphFont"/>
    <w:link w:val="Heading2"/>
    <w:uiPriority w:val="9"/>
    <w:rsid w:val="000555D5"/>
    <w:rPr>
      <w:rFonts w:asciiTheme="majorHAnsi" w:eastAsiaTheme="majorEastAsia" w:hAnsiTheme="majorHAnsi" w:cstheme="majorBidi"/>
      <w:color w:val="006379" w:themeColor="text2"/>
      <w:sz w:val="26"/>
      <w:szCs w:val="26"/>
    </w:rPr>
  </w:style>
  <w:style w:type="paragraph" w:styleId="Title">
    <w:name w:val="Title"/>
    <w:basedOn w:val="Normal"/>
    <w:next w:val="Normal"/>
    <w:link w:val="TitleChar"/>
    <w:uiPriority w:val="10"/>
    <w:qFormat/>
    <w:rsid w:val="000555D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5D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555D5"/>
    <w:rPr>
      <w:b/>
      <w:bCs/>
    </w:rPr>
  </w:style>
  <w:style w:type="paragraph" w:styleId="ListParagraph">
    <w:name w:val="List Paragraph"/>
    <w:basedOn w:val="Normal"/>
    <w:uiPriority w:val="34"/>
    <w:qFormat/>
    <w:rsid w:val="000555D5"/>
    <w:pPr>
      <w:ind w:left="720"/>
      <w:contextualSpacing/>
    </w:pPr>
  </w:style>
  <w:style w:type="paragraph" w:styleId="TOCHeading">
    <w:name w:val="TOC Heading"/>
    <w:basedOn w:val="Heading1"/>
    <w:next w:val="Normal"/>
    <w:uiPriority w:val="39"/>
    <w:unhideWhenUsed/>
    <w:qFormat/>
    <w:rsid w:val="000555D5"/>
    <w:pPr>
      <w:outlineLvl w:val="9"/>
    </w:pPr>
    <w:rPr>
      <w:b w:val="0"/>
      <w:color w:val="839928" w:themeColor="accent1" w:themeShade="BF"/>
      <w:lang w:eastAsia="en-GB"/>
    </w:rPr>
  </w:style>
  <w:style w:type="character" w:customStyle="1" w:styleId="Heading3Char">
    <w:name w:val="Heading 3 Char"/>
    <w:basedOn w:val="DefaultParagraphFont"/>
    <w:link w:val="Heading3"/>
    <w:uiPriority w:val="9"/>
    <w:semiHidden/>
    <w:rsid w:val="000555D5"/>
    <w:rPr>
      <w:rFonts w:asciiTheme="majorHAnsi" w:eastAsiaTheme="majorEastAsia" w:hAnsiTheme="majorHAnsi" w:cstheme="majorBidi"/>
      <w:color w:val="006379" w:themeColor="text2"/>
      <w:sz w:val="24"/>
      <w:szCs w:val="24"/>
    </w:rPr>
  </w:style>
  <w:style w:type="character" w:customStyle="1" w:styleId="Heading4Char">
    <w:name w:val="Heading 4 Char"/>
    <w:basedOn w:val="DefaultParagraphFont"/>
    <w:link w:val="Heading4"/>
    <w:uiPriority w:val="9"/>
    <w:semiHidden/>
    <w:rsid w:val="00686296"/>
    <w:rPr>
      <w:rFonts w:eastAsiaTheme="majorEastAsia" w:cstheme="majorBidi"/>
      <w:i/>
      <w:iCs/>
      <w:color w:val="839928" w:themeColor="accent1" w:themeShade="BF"/>
    </w:rPr>
  </w:style>
  <w:style w:type="character" w:customStyle="1" w:styleId="Heading5Char">
    <w:name w:val="Heading 5 Char"/>
    <w:basedOn w:val="DefaultParagraphFont"/>
    <w:link w:val="Heading5"/>
    <w:uiPriority w:val="9"/>
    <w:semiHidden/>
    <w:rsid w:val="00686296"/>
    <w:rPr>
      <w:rFonts w:eastAsiaTheme="majorEastAsia" w:cstheme="majorBidi"/>
      <w:color w:val="839928" w:themeColor="accent1" w:themeShade="BF"/>
    </w:rPr>
  </w:style>
  <w:style w:type="character" w:customStyle="1" w:styleId="Heading6Char">
    <w:name w:val="Heading 6 Char"/>
    <w:basedOn w:val="DefaultParagraphFont"/>
    <w:link w:val="Heading6"/>
    <w:uiPriority w:val="9"/>
    <w:semiHidden/>
    <w:rsid w:val="00686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296"/>
    <w:rPr>
      <w:rFonts w:eastAsiaTheme="majorEastAsia" w:cstheme="majorBidi"/>
      <w:color w:val="272727" w:themeColor="text1" w:themeTint="D8"/>
    </w:rPr>
  </w:style>
  <w:style w:type="paragraph" w:styleId="Subtitle">
    <w:name w:val="Subtitle"/>
    <w:basedOn w:val="Normal"/>
    <w:next w:val="Normal"/>
    <w:link w:val="SubtitleChar"/>
    <w:uiPriority w:val="11"/>
    <w:qFormat/>
    <w:rsid w:val="006862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2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6296"/>
    <w:rPr>
      <w:i/>
      <w:iCs/>
      <w:color w:val="404040" w:themeColor="text1" w:themeTint="BF"/>
    </w:rPr>
  </w:style>
  <w:style w:type="character" w:styleId="IntenseEmphasis">
    <w:name w:val="Intense Emphasis"/>
    <w:basedOn w:val="DefaultParagraphFont"/>
    <w:uiPriority w:val="21"/>
    <w:qFormat/>
    <w:rsid w:val="00686296"/>
    <w:rPr>
      <w:i/>
      <w:iCs/>
      <w:color w:val="839928" w:themeColor="accent1" w:themeShade="BF"/>
    </w:rPr>
  </w:style>
  <w:style w:type="paragraph" w:styleId="IntenseQuote">
    <w:name w:val="Intense Quote"/>
    <w:basedOn w:val="Normal"/>
    <w:next w:val="Normal"/>
    <w:link w:val="IntenseQuoteChar"/>
    <w:uiPriority w:val="30"/>
    <w:qFormat/>
    <w:rsid w:val="00686296"/>
    <w:pPr>
      <w:pBdr>
        <w:top w:val="single" w:sz="4" w:space="10" w:color="839928" w:themeColor="accent1" w:themeShade="BF"/>
        <w:bottom w:val="single" w:sz="4" w:space="10" w:color="839928" w:themeColor="accent1" w:themeShade="BF"/>
      </w:pBdr>
      <w:spacing w:before="360" w:after="360"/>
      <w:ind w:left="864" w:right="864"/>
      <w:jc w:val="center"/>
    </w:pPr>
    <w:rPr>
      <w:i/>
      <w:iCs/>
      <w:color w:val="839928" w:themeColor="accent1" w:themeShade="BF"/>
    </w:rPr>
  </w:style>
  <w:style w:type="character" w:customStyle="1" w:styleId="IntenseQuoteChar">
    <w:name w:val="Intense Quote Char"/>
    <w:basedOn w:val="DefaultParagraphFont"/>
    <w:link w:val="IntenseQuote"/>
    <w:uiPriority w:val="30"/>
    <w:rsid w:val="00686296"/>
    <w:rPr>
      <w:i/>
      <w:iCs/>
      <w:color w:val="839928" w:themeColor="accent1" w:themeShade="BF"/>
    </w:rPr>
  </w:style>
  <w:style w:type="character" w:styleId="IntenseReference">
    <w:name w:val="Intense Reference"/>
    <w:basedOn w:val="DefaultParagraphFont"/>
    <w:uiPriority w:val="32"/>
    <w:qFormat/>
    <w:rsid w:val="00686296"/>
    <w:rPr>
      <w:b/>
      <w:bCs/>
      <w:smallCaps/>
      <w:color w:val="839928" w:themeColor="accent1" w:themeShade="BF"/>
      <w:spacing w:val="5"/>
    </w:rPr>
  </w:style>
  <w:style w:type="paragraph" w:styleId="Header">
    <w:name w:val="header"/>
    <w:basedOn w:val="Normal"/>
    <w:link w:val="HeaderChar"/>
    <w:uiPriority w:val="99"/>
    <w:unhideWhenUsed/>
    <w:rsid w:val="0083303A"/>
    <w:pPr>
      <w:tabs>
        <w:tab w:val="center" w:pos="4513"/>
        <w:tab w:val="right" w:pos="9026"/>
      </w:tabs>
      <w:spacing w:line="240" w:lineRule="auto"/>
    </w:pPr>
  </w:style>
  <w:style w:type="character" w:customStyle="1" w:styleId="HeaderChar">
    <w:name w:val="Header Char"/>
    <w:basedOn w:val="DefaultParagraphFont"/>
    <w:link w:val="Header"/>
    <w:uiPriority w:val="99"/>
    <w:rsid w:val="0083303A"/>
  </w:style>
  <w:style w:type="paragraph" w:styleId="Footer">
    <w:name w:val="footer"/>
    <w:basedOn w:val="Normal"/>
    <w:link w:val="FooterChar"/>
    <w:uiPriority w:val="99"/>
    <w:unhideWhenUsed/>
    <w:rsid w:val="0083303A"/>
    <w:pPr>
      <w:tabs>
        <w:tab w:val="center" w:pos="4513"/>
        <w:tab w:val="right" w:pos="9026"/>
      </w:tabs>
      <w:spacing w:line="240" w:lineRule="auto"/>
    </w:pPr>
  </w:style>
  <w:style w:type="character" w:customStyle="1" w:styleId="FooterChar">
    <w:name w:val="Footer Char"/>
    <w:basedOn w:val="DefaultParagraphFont"/>
    <w:link w:val="Footer"/>
    <w:uiPriority w:val="99"/>
    <w:rsid w:val="0083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NU">
  <a:themeElements>
    <a:clrScheme name="Birmingham Newman University">
      <a:dk1>
        <a:sysClr val="windowText" lastClr="000000"/>
      </a:dk1>
      <a:lt1>
        <a:sysClr val="window" lastClr="FFFFFF"/>
      </a:lt1>
      <a:dk2>
        <a:srgbClr val="006379"/>
      </a:dk2>
      <a:lt2>
        <a:srgbClr val="82AEB3"/>
      </a:lt2>
      <a:accent1>
        <a:srgbClr val="AFCB37"/>
      </a:accent1>
      <a:accent2>
        <a:srgbClr val="8A9F61"/>
      </a:accent2>
      <a:accent3>
        <a:srgbClr val="40492A"/>
      </a:accent3>
      <a:accent4>
        <a:srgbClr val="C3B192"/>
      </a:accent4>
      <a:accent5>
        <a:srgbClr val="9A8597"/>
      </a:accent5>
      <a:accent6>
        <a:srgbClr val="002C4B"/>
      </a:accent6>
      <a:hlink>
        <a:srgbClr val="006379"/>
      </a:hlink>
      <a:folHlink>
        <a:srgbClr val="9A8597"/>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263ACA247E2468EA89E1B396E63A1" ma:contentTypeVersion="13" ma:contentTypeDescription="Create a new document." ma:contentTypeScope="" ma:versionID="66b3cc88f48641422bb2c3c360ca76d2">
  <xsd:schema xmlns:xsd="http://www.w3.org/2001/XMLSchema" xmlns:xs="http://www.w3.org/2001/XMLSchema" xmlns:p="http://schemas.microsoft.com/office/2006/metadata/properties" xmlns:ns2="7c3a351f-bc38-418a-8c9d-4ac0e943eed7" xmlns:ns3="b5f2d4d1-c54d-4ad2-80d4-0f8c4b020270" targetNamespace="http://schemas.microsoft.com/office/2006/metadata/properties" ma:root="true" ma:fieldsID="bafdf8d729954f1ed590e27ad520eafb" ns2:_="" ns3:_="">
    <xsd:import namespace="7c3a351f-bc38-418a-8c9d-4ac0e943eed7"/>
    <xsd:import namespace="b5f2d4d1-c54d-4ad2-80d4-0f8c4b020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351f-bc38-418a-8c9d-4ac0e943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2d4d1-c54d-4ad2-80d4-0f8c4b020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2100B-6D28-42E6-9DC8-DF2061C9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351f-bc38-418a-8c9d-4ac0e943eed7"/>
    <ds:schemaRef ds:uri="b5f2d4d1-c54d-4ad2-80d4-0f8c4b02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A1E1C-EDAF-478B-9B46-BF9D7760E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938E4-69FA-4BAD-AA37-EBA886EF5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Croxford</dc:creator>
  <cp:keywords/>
  <dc:description/>
  <cp:lastModifiedBy>Harry Croxford</cp:lastModifiedBy>
  <cp:revision>13</cp:revision>
  <dcterms:created xsi:type="dcterms:W3CDTF">2024-06-27T09:25:00Z</dcterms:created>
  <dcterms:modified xsi:type="dcterms:W3CDTF">2024-12-13T12:03:00Z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0x0101003D3263ACA247E2468EA89E1B396E63A1</vt:lpwstr>
  </property>
</Properties>
</file>