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D181" w14:textId="77777777" w:rsidR="00F041ED" w:rsidRPr="008C7FEB" w:rsidRDefault="00F041ED" w:rsidP="00F041ED">
      <w:pPr>
        <w:jc w:val="center"/>
        <w:rPr>
          <w:rFonts w:ascii="Calibri" w:hAnsi="Calibri" w:cs="Calibri"/>
          <w:b/>
          <w:sz w:val="28"/>
          <w:szCs w:val="28"/>
        </w:rPr>
      </w:pPr>
      <w:r>
        <w:rPr>
          <w:rFonts w:ascii="Calibri" w:hAnsi="Calibri" w:cs="Calibri"/>
          <w:b/>
          <w:sz w:val="28"/>
          <w:szCs w:val="28"/>
        </w:rPr>
        <w:t xml:space="preserve">BIRMINGHAM </w:t>
      </w:r>
      <w:r w:rsidRPr="008C7FEB">
        <w:rPr>
          <w:rFonts w:ascii="Calibri" w:hAnsi="Calibri" w:cs="Calibri"/>
          <w:b/>
          <w:sz w:val="28"/>
          <w:szCs w:val="28"/>
        </w:rPr>
        <w:t xml:space="preserve">NEWMAN UNIVERSITY </w:t>
      </w:r>
    </w:p>
    <w:p w14:paraId="54F6FFD4" w14:textId="6F756389" w:rsidR="00F041ED" w:rsidRPr="008C7FEB" w:rsidRDefault="00F041ED" w:rsidP="00F041ED">
      <w:pPr>
        <w:jc w:val="center"/>
        <w:rPr>
          <w:rFonts w:ascii="Calibri" w:hAnsi="Calibri" w:cs="Calibri"/>
          <w:b/>
          <w:sz w:val="28"/>
          <w:szCs w:val="28"/>
        </w:rPr>
      </w:pPr>
      <w:r>
        <w:rPr>
          <w:rFonts w:ascii="Calibri" w:hAnsi="Calibri" w:cs="Calibri"/>
          <w:b/>
          <w:sz w:val="28"/>
          <w:szCs w:val="28"/>
        </w:rPr>
        <w:t>NOMINATIONS AND GOVERNANCE</w:t>
      </w:r>
      <w:r w:rsidRPr="008C7FEB">
        <w:rPr>
          <w:rFonts w:ascii="Calibri" w:hAnsi="Calibri" w:cs="Calibri"/>
          <w:b/>
          <w:sz w:val="28"/>
          <w:szCs w:val="28"/>
        </w:rPr>
        <w:t xml:space="preserve"> COMMITTEE – TERMS OF REFERENCE</w:t>
      </w:r>
    </w:p>
    <w:p w14:paraId="22C14A2C" w14:textId="6E289A89" w:rsidR="00F041ED" w:rsidRPr="00B45CD5" w:rsidRDefault="00F041ED" w:rsidP="00F041ED">
      <w:pPr>
        <w:spacing w:line="240" w:lineRule="auto"/>
        <w:contextualSpacing/>
        <w:jc w:val="center"/>
        <w:rPr>
          <w:rFonts w:ascii="Calibri" w:hAnsi="Calibri" w:cs="Calibri"/>
          <w:i/>
          <w:iCs/>
        </w:rPr>
      </w:pPr>
      <w:r>
        <w:rPr>
          <w:rFonts w:ascii="Calibri" w:hAnsi="Calibri" w:cs="Calibri"/>
          <w:i/>
          <w:iCs/>
        </w:rPr>
        <w:t xml:space="preserve">Last reviewed </w:t>
      </w:r>
      <w:r>
        <w:rPr>
          <w:rFonts w:ascii="Calibri" w:hAnsi="Calibri" w:cs="Calibri"/>
          <w:i/>
          <w:iCs/>
        </w:rPr>
        <w:t>by the Nominations and Governance Committee</w:t>
      </w:r>
      <w:r w:rsidRPr="00B45CD5">
        <w:rPr>
          <w:rFonts w:ascii="Calibri" w:hAnsi="Calibri" w:cs="Calibri"/>
          <w:i/>
          <w:iCs/>
        </w:rPr>
        <w:t xml:space="preserve"> on </w:t>
      </w:r>
      <w:r>
        <w:rPr>
          <w:rFonts w:ascii="Calibri" w:hAnsi="Calibri" w:cs="Calibri"/>
          <w:i/>
          <w:iCs/>
        </w:rPr>
        <w:t>15 May</w:t>
      </w:r>
      <w:r w:rsidRPr="00B45CD5">
        <w:rPr>
          <w:rFonts w:ascii="Calibri" w:hAnsi="Calibri" w:cs="Calibri"/>
          <w:i/>
          <w:iCs/>
        </w:rPr>
        <w:t xml:space="preserve"> 2024</w:t>
      </w:r>
    </w:p>
    <w:p w14:paraId="6EF0CF8C" w14:textId="52CED8C1" w:rsidR="00F041ED" w:rsidRPr="00F041ED" w:rsidRDefault="00F041ED" w:rsidP="00F041ED">
      <w:pPr>
        <w:keepNext/>
        <w:spacing w:line="240" w:lineRule="auto"/>
        <w:ind w:left="360"/>
        <w:jc w:val="both"/>
        <w:outlineLvl w:val="0"/>
        <w:rPr>
          <w:rFonts w:ascii="Calibri" w:eastAsia="Times New Roman" w:hAnsi="Calibri" w:cs="Calibri"/>
          <w:b/>
          <w:bCs/>
          <w:sz w:val="28"/>
          <w:szCs w:val="28"/>
        </w:rPr>
      </w:pPr>
    </w:p>
    <w:p w14:paraId="29301288" w14:textId="71A71328" w:rsidR="00F041ED" w:rsidRPr="00F041ED" w:rsidRDefault="00F041ED" w:rsidP="00F041ED">
      <w:pPr>
        <w:keepNext/>
        <w:numPr>
          <w:ilvl w:val="0"/>
          <w:numId w:val="3"/>
        </w:numPr>
        <w:spacing w:line="240" w:lineRule="auto"/>
        <w:jc w:val="both"/>
        <w:outlineLvl w:val="0"/>
        <w:rPr>
          <w:rFonts w:ascii="Calibri" w:eastAsia="Times New Roman" w:hAnsi="Calibri" w:cs="Calibri"/>
          <w:b/>
          <w:bCs/>
          <w:sz w:val="28"/>
          <w:szCs w:val="28"/>
        </w:rPr>
      </w:pPr>
      <w:r>
        <w:rPr>
          <w:rFonts w:ascii="Calibri" w:eastAsia="Times New Roman" w:hAnsi="Calibri" w:cs="Arial"/>
          <w:b/>
          <w:bCs/>
          <w:sz w:val="28"/>
          <w:szCs w:val="28"/>
        </w:rPr>
        <w:t xml:space="preserve"> </w:t>
      </w:r>
      <w:r>
        <w:rPr>
          <w:rFonts w:ascii="Calibri" w:eastAsia="Times New Roman" w:hAnsi="Calibri" w:cs="Arial"/>
          <w:b/>
          <w:bCs/>
          <w:sz w:val="28"/>
          <w:szCs w:val="28"/>
        </w:rPr>
        <w:tab/>
      </w:r>
      <w:r w:rsidRPr="00F041ED">
        <w:rPr>
          <w:rFonts w:ascii="Calibri" w:eastAsia="Times New Roman" w:hAnsi="Calibri" w:cs="Arial"/>
          <w:b/>
          <w:bCs/>
          <w:sz w:val="28"/>
          <w:szCs w:val="28"/>
        </w:rPr>
        <w:t>Nominations and Governance Committee</w:t>
      </w:r>
    </w:p>
    <w:p w14:paraId="3443C459" w14:textId="77777777" w:rsidR="00F041ED" w:rsidRPr="00F041ED" w:rsidRDefault="00F041ED" w:rsidP="00F041ED">
      <w:pPr>
        <w:spacing w:line="240" w:lineRule="auto"/>
        <w:ind w:left="1134"/>
        <w:contextualSpacing/>
        <w:jc w:val="both"/>
        <w:rPr>
          <w:rFonts w:ascii="Calibri" w:eastAsia="Times New Roman" w:hAnsi="Calibri" w:cs="Calibri"/>
          <w:sz w:val="20"/>
          <w:szCs w:val="24"/>
        </w:rPr>
      </w:pPr>
    </w:p>
    <w:p w14:paraId="26D0551D"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bCs/>
          <w:sz w:val="24"/>
          <w:szCs w:val="24"/>
        </w:rPr>
      </w:pPr>
      <w:r w:rsidRPr="00F041ED">
        <w:rPr>
          <w:rFonts w:ascii="Calibri" w:eastAsia="Times New Roman" w:hAnsi="Calibri" w:cs="Calibri"/>
          <w:bCs/>
          <w:sz w:val="24"/>
          <w:szCs w:val="24"/>
        </w:rPr>
        <w:t>Scope</w:t>
      </w:r>
    </w:p>
    <w:p w14:paraId="215DF7A7" w14:textId="77777777" w:rsidR="00F041ED" w:rsidRPr="00F041ED" w:rsidRDefault="00F041ED" w:rsidP="00F041ED">
      <w:pPr>
        <w:spacing w:line="240" w:lineRule="auto"/>
        <w:ind w:left="1134"/>
        <w:jc w:val="both"/>
        <w:rPr>
          <w:rFonts w:ascii="Calibri" w:eastAsia="Times New Roman" w:hAnsi="Calibri" w:cs="Calibri"/>
          <w:bCs/>
          <w:sz w:val="24"/>
          <w:szCs w:val="24"/>
        </w:rPr>
      </w:pPr>
      <w:r w:rsidRPr="00F041ED">
        <w:rPr>
          <w:rFonts w:ascii="Calibri" w:eastAsia="Times New Roman" w:hAnsi="Calibri" w:cs="Calibri"/>
          <w:bCs/>
          <w:sz w:val="24"/>
          <w:szCs w:val="24"/>
        </w:rPr>
        <w:t>It is the role of the Nominations and Governance Committee (the ‘Committee’) to advise and assist Council in respect of matters relating to governance and the conduct of governing body business including the appointment of independent Governors, Chair of the Council, the Chancellor and Pro Chancellor(s), Vice-Chancellor and other Senior Post Holders as defined within the Articles.</w:t>
      </w:r>
    </w:p>
    <w:p w14:paraId="2CF28B66" w14:textId="77777777" w:rsidR="00F041ED" w:rsidRPr="00F041ED" w:rsidRDefault="00F041ED" w:rsidP="00F041ED">
      <w:pPr>
        <w:spacing w:line="240" w:lineRule="auto"/>
        <w:ind w:left="1134" w:hanging="567"/>
        <w:jc w:val="both"/>
        <w:rPr>
          <w:rFonts w:ascii="Calibri" w:eastAsia="Times New Roman" w:hAnsi="Calibri" w:cs="Calibri"/>
          <w:bCs/>
          <w:sz w:val="24"/>
          <w:szCs w:val="24"/>
        </w:rPr>
      </w:pPr>
    </w:p>
    <w:p w14:paraId="6FDA97B3"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bCs/>
          <w:sz w:val="24"/>
          <w:szCs w:val="24"/>
        </w:rPr>
      </w:pPr>
      <w:r w:rsidRPr="00F041ED">
        <w:rPr>
          <w:rFonts w:ascii="Calibri" w:eastAsia="Times New Roman" w:hAnsi="Calibri" w:cs="Calibri"/>
          <w:bCs/>
          <w:sz w:val="24"/>
          <w:szCs w:val="24"/>
        </w:rPr>
        <w:t>Authority</w:t>
      </w:r>
    </w:p>
    <w:p w14:paraId="2FFAB174" w14:textId="77777777" w:rsidR="00F041ED" w:rsidRPr="00F041ED" w:rsidRDefault="00F041ED" w:rsidP="00F041ED">
      <w:pPr>
        <w:spacing w:line="240" w:lineRule="auto"/>
        <w:ind w:left="1134"/>
        <w:jc w:val="both"/>
        <w:rPr>
          <w:rFonts w:ascii="Calibri" w:eastAsia="Times New Roman" w:hAnsi="Calibri" w:cs="Calibri"/>
          <w:bCs/>
          <w:sz w:val="24"/>
          <w:szCs w:val="24"/>
        </w:rPr>
      </w:pPr>
      <w:r w:rsidRPr="00F041ED">
        <w:rPr>
          <w:rFonts w:ascii="Calibri" w:eastAsia="Times New Roman" w:hAnsi="Calibri" w:cs="Calibri"/>
          <w:bCs/>
          <w:sz w:val="24"/>
          <w:szCs w:val="24"/>
        </w:rPr>
        <w:t>The Committee is authorised by Council to investigate any activity within its terms of reference. It is authorised to seek out any information it requires from any employee and all employees are directed to cooperate with requests made by the Committee.</w:t>
      </w:r>
    </w:p>
    <w:p w14:paraId="3F7679B2" w14:textId="77777777" w:rsidR="00F041ED" w:rsidRPr="00F041ED" w:rsidRDefault="00F041ED" w:rsidP="00F041ED">
      <w:pPr>
        <w:spacing w:line="240" w:lineRule="auto"/>
        <w:ind w:left="1134" w:hanging="567"/>
        <w:jc w:val="both"/>
        <w:rPr>
          <w:rFonts w:ascii="Calibri" w:eastAsia="Times New Roman" w:hAnsi="Calibri" w:cs="Calibri"/>
          <w:bCs/>
          <w:sz w:val="24"/>
          <w:szCs w:val="24"/>
        </w:rPr>
      </w:pPr>
    </w:p>
    <w:p w14:paraId="3F27713D" w14:textId="77777777" w:rsidR="00F041ED" w:rsidRPr="00F041ED" w:rsidRDefault="00F041ED" w:rsidP="00F041ED">
      <w:pPr>
        <w:spacing w:line="240" w:lineRule="auto"/>
        <w:ind w:left="1134"/>
        <w:jc w:val="both"/>
        <w:rPr>
          <w:rFonts w:ascii="Calibri" w:eastAsia="Times New Roman" w:hAnsi="Calibri" w:cs="Calibri"/>
          <w:bCs/>
          <w:sz w:val="24"/>
          <w:szCs w:val="24"/>
        </w:rPr>
      </w:pPr>
      <w:r w:rsidRPr="00F041ED">
        <w:rPr>
          <w:rFonts w:ascii="Calibri" w:eastAsia="Times New Roman" w:hAnsi="Calibri" w:cs="Calibri"/>
          <w:bCs/>
          <w:sz w:val="24"/>
          <w:szCs w:val="24"/>
        </w:rPr>
        <w:t>The Committee is authorised by Council to obtain outside legal or other independent professional advice and to secure the attendance of non-members with relevant experience and expertise if it considers this necessary, normally in consultation with the Vice Chancellor and/or Chair of the Council. However, it may not incur direct expenditure in this respect without the prior approval of the Chair of Council or the Vice-Chancellor, as appropriate.</w:t>
      </w:r>
    </w:p>
    <w:p w14:paraId="67300740" w14:textId="77777777" w:rsidR="00F041ED" w:rsidRPr="00F041ED" w:rsidRDefault="00F041ED" w:rsidP="00F041ED">
      <w:pPr>
        <w:spacing w:line="240" w:lineRule="auto"/>
        <w:ind w:left="1134" w:hanging="567"/>
        <w:contextualSpacing/>
        <w:jc w:val="both"/>
        <w:rPr>
          <w:rFonts w:ascii="Calibri" w:eastAsia="Times New Roman" w:hAnsi="Calibri" w:cs="Calibri"/>
          <w:bCs/>
          <w:sz w:val="24"/>
          <w:szCs w:val="24"/>
        </w:rPr>
      </w:pPr>
    </w:p>
    <w:p w14:paraId="38931724"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bCs/>
          <w:sz w:val="24"/>
          <w:szCs w:val="24"/>
        </w:rPr>
      </w:pPr>
      <w:r w:rsidRPr="00F041ED">
        <w:rPr>
          <w:rFonts w:ascii="Calibri" w:eastAsia="Times New Roman" w:hAnsi="Calibri" w:cs="Calibri"/>
          <w:bCs/>
          <w:sz w:val="24"/>
          <w:szCs w:val="24"/>
        </w:rPr>
        <w:t>Clerking</w:t>
      </w:r>
    </w:p>
    <w:p w14:paraId="7DEB8156" w14:textId="77777777" w:rsidR="00F041ED" w:rsidRPr="00F041ED" w:rsidRDefault="00F041ED" w:rsidP="00F041ED">
      <w:pPr>
        <w:spacing w:line="240" w:lineRule="auto"/>
        <w:ind w:left="1134"/>
        <w:jc w:val="both"/>
        <w:rPr>
          <w:rFonts w:ascii="Calibri" w:eastAsia="Times New Roman" w:hAnsi="Calibri" w:cs="Calibri"/>
          <w:bCs/>
          <w:sz w:val="24"/>
          <w:szCs w:val="24"/>
        </w:rPr>
      </w:pPr>
      <w:r w:rsidRPr="00F041ED">
        <w:rPr>
          <w:rFonts w:ascii="Calibri" w:eastAsia="Times New Roman" w:hAnsi="Calibri" w:cs="Calibri"/>
          <w:bCs/>
          <w:sz w:val="24"/>
          <w:szCs w:val="24"/>
        </w:rPr>
        <w:t>The clerk to the Committee will be the Secretary to Council, or their nominee.</w:t>
      </w:r>
    </w:p>
    <w:p w14:paraId="4ECDC876" w14:textId="77777777" w:rsidR="00F041ED" w:rsidRPr="00F041ED" w:rsidRDefault="00F041ED" w:rsidP="00F041ED">
      <w:pPr>
        <w:spacing w:line="240" w:lineRule="auto"/>
        <w:ind w:left="1134" w:hanging="567"/>
        <w:contextualSpacing/>
        <w:jc w:val="both"/>
        <w:rPr>
          <w:rFonts w:ascii="Calibri" w:eastAsia="Times New Roman" w:hAnsi="Calibri" w:cs="Calibri"/>
          <w:bCs/>
          <w:sz w:val="24"/>
          <w:szCs w:val="24"/>
        </w:rPr>
      </w:pPr>
    </w:p>
    <w:p w14:paraId="47903966"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bCs/>
          <w:sz w:val="24"/>
          <w:szCs w:val="24"/>
        </w:rPr>
      </w:pPr>
      <w:r w:rsidRPr="00F041ED">
        <w:rPr>
          <w:rFonts w:ascii="Calibri" w:eastAsia="Times New Roman" w:hAnsi="Calibri" w:cs="Calibri"/>
          <w:bCs/>
          <w:sz w:val="24"/>
          <w:szCs w:val="24"/>
        </w:rPr>
        <w:t>Review</w:t>
      </w:r>
    </w:p>
    <w:p w14:paraId="02F6D26E" w14:textId="77777777" w:rsidR="00F041ED" w:rsidRPr="00F041ED" w:rsidRDefault="00F041ED" w:rsidP="00F041ED">
      <w:pPr>
        <w:spacing w:line="240" w:lineRule="auto"/>
        <w:ind w:left="1134"/>
        <w:jc w:val="both"/>
        <w:rPr>
          <w:rFonts w:ascii="Calibri" w:eastAsia="Times New Roman" w:hAnsi="Calibri" w:cs="Calibri"/>
          <w:bCs/>
          <w:sz w:val="24"/>
          <w:szCs w:val="24"/>
        </w:rPr>
      </w:pPr>
      <w:r w:rsidRPr="00F041ED">
        <w:rPr>
          <w:rFonts w:ascii="Calibri" w:eastAsia="Times New Roman" w:hAnsi="Calibri" w:cs="Calibri"/>
          <w:bCs/>
          <w:sz w:val="24"/>
          <w:szCs w:val="24"/>
        </w:rPr>
        <w:t>The Committee should periodically (and at a minimum of every four years) undertake a review of its terms of reference and its own effectiveness and recommend any necessary changes to Council.</w:t>
      </w:r>
    </w:p>
    <w:p w14:paraId="51F3674E" w14:textId="77777777" w:rsidR="00F041ED" w:rsidRPr="00F041ED" w:rsidRDefault="00F041ED" w:rsidP="00F041ED">
      <w:pPr>
        <w:spacing w:line="240" w:lineRule="auto"/>
        <w:ind w:left="1134" w:hanging="567"/>
        <w:contextualSpacing/>
        <w:jc w:val="both"/>
        <w:rPr>
          <w:rFonts w:ascii="Calibri" w:eastAsia="Times New Roman" w:hAnsi="Calibri" w:cs="Calibri"/>
          <w:bCs/>
          <w:sz w:val="24"/>
          <w:szCs w:val="24"/>
        </w:rPr>
      </w:pPr>
    </w:p>
    <w:p w14:paraId="01CEEEAA"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bCs/>
          <w:sz w:val="24"/>
          <w:szCs w:val="24"/>
        </w:rPr>
      </w:pPr>
      <w:r w:rsidRPr="00F041ED">
        <w:rPr>
          <w:rFonts w:ascii="Calibri" w:eastAsia="Times New Roman" w:hAnsi="Calibri" w:cs="Calibri"/>
          <w:bCs/>
          <w:sz w:val="24"/>
          <w:szCs w:val="24"/>
        </w:rPr>
        <w:t>Minutes</w:t>
      </w:r>
    </w:p>
    <w:p w14:paraId="7AA69345" w14:textId="77777777" w:rsidR="00F041ED" w:rsidRPr="00F041ED" w:rsidRDefault="00F041ED" w:rsidP="00F041ED">
      <w:pPr>
        <w:spacing w:line="240" w:lineRule="auto"/>
        <w:ind w:left="1134"/>
        <w:jc w:val="both"/>
        <w:rPr>
          <w:rFonts w:ascii="Calibri" w:eastAsia="Times New Roman" w:hAnsi="Calibri" w:cs="Calibri"/>
          <w:bCs/>
          <w:sz w:val="24"/>
          <w:szCs w:val="24"/>
        </w:rPr>
      </w:pPr>
      <w:r w:rsidRPr="00F041ED">
        <w:rPr>
          <w:rFonts w:ascii="Calibri" w:eastAsia="Times New Roman" w:hAnsi="Calibri" w:cs="Calibri"/>
          <w:bCs/>
          <w:sz w:val="24"/>
          <w:szCs w:val="24"/>
        </w:rPr>
        <w:t xml:space="preserve">The minutes (or a report) of meetings of the Committee will be circulated to </w:t>
      </w:r>
      <w:proofErr w:type="gramStart"/>
      <w:r w:rsidRPr="00F041ED">
        <w:rPr>
          <w:rFonts w:ascii="Calibri" w:eastAsia="Times New Roman" w:hAnsi="Calibri" w:cs="Calibri"/>
          <w:bCs/>
          <w:sz w:val="24"/>
          <w:szCs w:val="24"/>
        </w:rPr>
        <w:t>all  Governors</w:t>
      </w:r>
      <w:proofErr w:type="gramEnd"/>
      <w:r w:rsidRPr="00F041ED">
        <w:rPr>
          <w:rFonts w:ascii="Calibri" w:eastAsia="Times New Roman" w:hAnsi="Calibri" w:cs="Calibri"/>
          <w:bCs/>
          <w:sz w:val="24"/>
          <w:szCs w:val="24"/>
        </w:rPr>
        <w:t>.</w:t>
      </w:r>
    </w:p>
    <w:p w14:paraId="636CC204" w14:textId="77777777" w:rsidR="00F041ED" w:rsidRPr="00F041ED" w:rsidRDefault="00F041ED" w:rsidP="00F041ED">
      <w:pPr>
        <w:spacing w:line="240" w:lineRule="auto"/>
        <w:ind w:left="1134" w:hanging="567"/>
        <w:contextualSpacing/>
        <w:jc w:val="both"/>
        <w:rPr>
          <w:rFonts w:ascii="Calibri" w:eastAsia="Times New Roman" w:hAnsi="Calibri" w:cs="Calibri"/>
          <w:sz w:val="24"/>
          <w:szCs w:val="24"/>
        </w:rPr>
      </w:pPr>
    </w:p>
    <w:p w14:paraId="5E5BFF46"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Arial"/>
          <w:sz w:val="24"/>
          <w:szCs w:val="24"/>
        </w:rPr>
        <w:t>Membership</w:t>
      </w:r>
    </w:p>
    <w:p w14:paraId="0A5D08E2" w14:textId="77777777" w:rsidR="00F041ED" w:rsidRPr="00F041ED" w:rsidRDefault="00F041ED" w:rsidP="00F041ED">
      <w:pPr>
        <w:spacing w:line="240" w:lineRule="auto"/>
        <w:ind w:left="1134"/>
        <w:rPr>
          <w:rFonts w:ascii="Calibri" w:eastAsia="Times New Roman" w:hAnsi="Calibri" w:cs="Calibri"/>
          <w:sz w:val="24"/>
          <w:szCs w:val="24"/>
        </w:rPr>
      </w:pPr>
      <w:r w:rsidRPr="00F041ED">
        <w:rPr>
          <w:rFonts w:ascii="Calibri" w:eastAsia="Times New Roman" w:hAnsi="Calibri" w:cs="Calibri"/>
          <w:sz w:val="24"/>
          <w:szCs w:val="24"/>
        </w:rPr>
        <w:t xml:space="preserve">The Committee must have no fewer than six members, including the Chair and the Vice-Chair of the Council, the Vice-Chancellor, at least one other independent </w:t>
      </w:r>
      <w:proofErr w:type="gramStart"/>
      <w:r w:rsidRPr="00F041ED">
        <w:rPr>
          <w:rFonts w:ascii="Calibri" w:eastAsia="Times New Roman" w:hAnsi="Calibri" w:cs="Calibri"/>
          <w:sz w:val="24"/>
          <w:szCs w:val="24"/>
        </w:rPr>
        <w:t>Governor ,</w:t>
      </w:r>
      <w:proofErr w:type="gramEnd"/>
      <w:r w:rsidRPr="00F041ED">
        <w:rPr>
          <w:rFonts w:ascii="Calibri" w:eastAsia="Times New Roman" w:hAnsi="Calibri" w:cs="Calibri"/>
          <w:sz w:val="24"/>
          <w:szCs w:val="24"/>
        </w:rPr>
        <w:t xml:space="preserve"> one student Governor and one senior member of staff nominated by the Vice-Chancellor.</w:t>
      </w:r>
    </w:p>
    <w:p w14:paraId="2E2A8185" w14:textId="77777777" w:rsidR="00F041ED" w:rsidRPr="00F041ED" w:rsidRDefault="00F041ED" w:rsidP="00F041ED">
      <w:pPr>
        <w:spacing w:line="240" w:lineRule="auto"/>
        <w:ind w:left="1134" w:hanging="567"/>
        <w:rPr>
          <w:rFonts w:ascii="Calibri" w:eastAsia="Times New Roman" w:hAnsi="Calibri" w:cs="Calibri"/>
          <w:sz w:val="24"/>
          <w:szCs w:val="24"/>
        </w:rPr>
      </w:pPr>
    </w:p>
    <w:p w14:paraId="2FB7A6BB"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Calibri"/>
          <w:sz w:val="24"/>
          <w:szCs w:val="24"/>
        </w:rPr>
        <w:t>Quorum</w:t>
      </w:r>
    </w:p>
    <w:p w14:paraId="33841E7D" w14:textId="77777777" w:rsidR="00F041ED" w:rsidRPr="00F041ED" w:rsidRDefault="00F041ED" w:rsidP="00F041ED">
      <w:pPr>
        <w:spacing w:line="240" w:lineRule="auto"/>
        <w:ind w:left="1134"/>
        <w:jc w:val="both"/>
        <w:rPr>
          <w:rFonts w:ascii="Calibri" w:eastAsia="Times New Roman" w:hAnsi="Calibri" w:cs="Calibri"/>
          <w:sz w:val="24"/>
          <w:szCs w:val="24"/>
        </w:rPr>
      </w:pPr>
      <w:r w:rsidRPr="00F041ED">
        <w:rPr>
          <w:rFonts w:ascii="Calibri" w:eastAsia="Times New Roman" w:hAnsi="Calibri" w:cs="Arial"/>
          <w:sz w:val="24"/>
          <w:szCs w:val="24"/>
        </w:rPr>
        <w:t xml:space="preserve">The quorum for meetings of the Committee shall be two independent Governors. </w:t>
      </w:r>
    </w:p>
    <w:p w14:paraId="6E9270FB" w14:textId="77777777" w:rsidR="00F041ED" w:rsidRPr="00F041ED" w:rsidRDefault="00F041ED" w:rsidP="00F041ED">
      <w:pPr>
        <w:spacing w:line="240" w:lineRule="auto"/>
        <w:ind w:left="1134" w:hanging="567"/>
        <w:contextualSpacing/>
        <w:jc w:val="both"/>
        <w:rPr>
          <w:rFonts w:ascii="Calibri" w:eastAsia="Times New Roman" w:hAnsi="Calibri" w:cs="Calibri"/>
          <w:sz w:val="24"/>
          <w:szCs w:val="24"/>
        </w:rPr>
      </w:pPr>
    </w:p>
    <w:p w14:paraId="030549A5"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Arial"/>
          <w:sz w:val="24"/>
          <w:szCs w:val="24"/>
        </w:rPr>
        <w:t>Frequency</w:t>
      </w:r>
    </w:p>
    <w:p w14:paraId="7CE6E72D" w14:textId="77777777" w:rsidR="00F041ED" w:rsidRPr="00F041ED" w:rsidRDefault="00F041ED" w:rsidP="00F041ED">
      <w:pPr>
        <w:spacing w:line="240" w:lineRule="auto"/>
        <w:ind w:left="1134"/>
        <w:contextualSpacing/>
        <w:jc w:val="both"/>
        <w:rPr>
          <w:rFonts w:ascii="Calibri" w:eastAsia="Times New Roman" w:hAnsi="Calibri" w:cs="Calibri"/>
          <w:sz w:val="24"/>
          <w:szCs w:val="24"/>
        </w:rPr>
      </w:pPr>
      <w:r w:rsidRPr="00F041ED">
        <w:rPr>
          <w:rFonts w:ascii="Calibri" w:eastAsia="Times New Roman" w:hAnsi="Calibri" w:cs="Arial"/>
          <w:sz w:val="24"/>
          <w:szCs w:val="24"/>
        </w:rPr>
        <w:t>The Committee will meet as often as is necessary.</w:t>
      </w:r>
    </w:p>
    <w:p w14:paraId="413F97F2" w14:textId="77777777" w:rsidR="00F041ED" w:rsidRPr="00F041ED" w:rsidRDefault="00F041ED" w:rsidP="00F041ED">
      <w:pPr>
        <w:spacing w:line="240" w:lineRule="auto"/>
        <w:ind w:left="1134" w:hanging="567"/>
        <w:contextualSpacing/>
        <w:jc w:val="both"/>
        <w:rPr>
          <w:rFonts w:ascii="Calibri" w:eastAsia="Times New Roman" w:hAnsi="Calibri" w:cs="Calibri"/>
          <w:sz w:val="24"/>
          <w:szCs w:val="24"/>
        </w:rPr>
      </w:pPr>
    </w:p>
    <w:p w14:paraId="3FB4ED5D"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Calibri"/>
          <w:sz w:val="24"/>
          <w:szCs w:val="24"/>
        </w:rPr>
        <w:lastRenderedPageBreak/>
        <w:t>Attendance at meetings</w:t>
      </w:r>
    </w:p>
    <w:p w14:paraId="1B02E972" w14:textId="77777777" w:rsidR="00F041ED" w:rsidRPr="00F041ED" w:rsidRDefault="00F041ED" w:rsidP="00F041ED">
      <w:pPr>
        <w:spacing w:line="240" w:lineRule="auto"/>
        <w:ind w:left="1134"/>
        <w:jc w:val="both"/>
        <w:rPr>
          <w:rFonts w:ascii="Calibri" w:eastAsia="Times New Roman" w:hAnsi="Calibri" w:cs="Calibri"/>
          <w:sz w:val="24"/>
          <w:szCs w:val="24"/>
        </w:rPr>
      </w:pPr>
      <w:r w:rsidRPr="00F041ED">
        <w:rPr>
          <w:rFonts w:ascii="Calibri" w:eastAsia="Times New Roman" w:hAnsi="Calibri" w:cs="Calibri"/>
          <w:sz w:val="24"/>
          <w:szCs w:val="24"/>
        </w:rPr>
        <w:t>The Committee has the right, whenever it is satisfied that this is appropriate, to go into confidential session and exclude any, or all, other participants and observers other than the Committee Clerk.</w:t>
      </w:r>
    </w:p>
    <w:p w14:paraId="59C27A07" w14:textId="77777777" w:rsidR="00F041ED" w:rsidRPr="00F041ED" w:rsidRDefault="00F041ED" w:rsidP="00F041ED">
      <w:pPr>
        <w:spacing w:line="240" w:lineRule="auto"/>
        <w:ind w:left="284"/>
        <w:jc w:val="both"/>
        <w:rPr>
          <w:rFonts w:ascii="Calibri" w:eastAsia="Times New Roman" w:hAnsi="Calibri" w:cs="Calibri"/>
          <w:sz w:val="24"/>
          <w:szCs w:val="24"/>
        </w:rPr>
      </w:pPr>
    </w:p>
    <w:p w14:paraId="14D0408D"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Arial"/>
          <w:sz w:val="24"/>
          <w:szCs w:val="24"/>
        </w:rPr>
        <w:t>The Terms of Reference of the Committee are to:</w:t>
      </w:r>
    </w:p>
    <w:p w14:paraId="14492B2E" w14:textId="77777777" w:rsidR="00F041ED" w:rsidRPr="00F041ED" w:rsidRDefault="00F041ED" w:rsidP="00F041ED">
      <w:pPr>
        <w:spacing w:line="240" w:lineRule="auto"/>
        <w:ind w:left="720" w:hanging="567"/>
        <w:contextualSpacing/>
        <w:rPr>
          <w:rFonts w:ascii="Calibri" w:eastAsia="Times New Roman" w:hAnsi="Calibri" w:cs="Calibri"/>
          <w:sz w:val="24"/>
          <w:szCs w:val="24"/>
        </w:rPr>
      </w:pPr>
    </w:p>
    <w:p w14:paraId="560A41E7"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Arial"/>
          <w:sz w:val="24"/>
          <w:szCs w:val="24"/>
        </w:rPr>
        <w:t>Nominations</w:t>
      </w:r>
    </w:p>
    <w:p w14:paraId="628F0B9D" w14:textId="77777777" w:rsidR="00F041ED" w:rsidRPr="00F041ED" w:rsidRDefault="00F041ED" w:rsidP="00F041ED">
      <w:pPr>
        <w:spacing w:line="240" w:lineRule="auto"/>
        <w:ind w:left="1134"/>
        <w:contextualSpacing/>
        <w:jc w:val="both"/>
        <w:rPr>
          <w:rFonts w:ascii="Calibri" w:eastAsia="Times New Roman" w:hAnsi="Calibri" w:cs="Calibri"/>
          <w:b/>
          <w:sz w:val="24"/>
          <w:szCs w:val="24"/>
        </w:rPr>
      </w:pPr>
    </w:p>
    <w:p w14:paraId="24BD77EE"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 xml:space="preserve">advise the Council on succession planning and terms of office to ensure a suitable membership and skills balance is maintained on the Council and its committees, taking into account the range of skills, experience, diverse backgrounds, independence and knowledge required to support the University and the work of the </w:t>
      </w:r>
      <w:proofErr w:type="gramStart"/>
      <w:r w:rsidRPr="00F041ED">
        <w:rPr>
          <w:rFonts w:ascii="Calibri" w:eastAsia="Times New Roman" w:hAnsi="Calibri" w:cs="Calibri"/>
          <w:sz w:val="24"/>
          <w:szCs w:val="24"/>
        </w:rPr>
        <w:t>Council;</w:t>
      </w:r>
      <w:proofErr w:type="gramEnd"/>
      <w:r w:rsidRPr="00F041ED">
        <w:rPr>
          <w:rFonts w:ascii="Calibri" w:eastAsia="Times New Roman" w:hAnsi="Calibri" w:cs="Calibri"/>
          <w:sz w:val="24"/>
          <w:szCs w:val="24"/>
        </w:rPr>
        <w:t xml:space="preserve"> </w:t>
      </w:r>
    </w:p>
    <w:p w14:paraId="13AE9C89"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 xml:space="preserve">approve appropriate induction, update and development processes for Governors and members of </w:t>
      </w:r>
      <w:proofErr w:type="gramStart"/>
      <w:r w:rsidRPr="00F041ED">
        <w:rPr>
          <w:rFonts w:ascii="Calibri" w:eastAsia="Times New Roman" w:hAnsi="Calibri" w:cs="Calibri"/>
          <w:sz w:val="24"/>
          <w:szCs w:val="24"/>
        </w:rPr>
        <w:t>Committees;</w:t>
      </w:r>
      <w:proofErr w:type="gramEnd"/>
      <w:r w:rsidRPr="00F041ED">
        <w:rPr>
          <w:rFonts w:ascii="Calibri" w:eastAsia="Times New Roman" w:hAnsi="Calibri" w:cs="Calibri"/>
          <w:sz w:val="24"/>
          <w:szCs w:val="24"/>
        </w:rPr>
        <w:t xml:space="preserve"> </w:t>
      </w:r>
    </w:p>
    <w:p w14:paraId="2CB7FAA7"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 xml:space="preserve">recommend to Council the appointment of members to Committees of </w:t>
      </w:r>
      <w:proofErr w:type="gramStart"/>
      <w:r w:rsidRPr="00F041ED">
        <w:rPr>
          <w:rFonts w:ascii="Calibri" w:eastAsia="Times New Roman" w:hAnsi="Calibri" w:cs="Calibri"/>
          <w:sz w:val="24"/>
          <w:szCs w:val="24"/>
        </w:rPr>
        <w:t>Council;</w:t>
      </w:r>
      <w:proofErr w:type="gramEnd"/>
    </w:p>
    <w:p w14:paraId="2917AC11"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 xml:space="preserve">subject to any procedures, and on behalf of Council, oversee the recruitment and selection process of candidates to fill vacancies of the Independent, Catholic and non-Catholic </w:t>
      </w:r>
      <w:proofErr w:type="gramStart"/>
      <w:r w:rsidRPr="00F041ED">
        <w:rPr>
          <w:rFonts w:ascii="Calibri" w:eastAsia="Times New Roman" w:hAnsi="Calibri" w:cs="Calibri"/>
          <w:sz w:val="24"/>
          <w:szCs w:val="24"/>
        </w:rPr>
        <w:t>Governors ,</w:t>
      </w:r>
      <w:proofErr w:type="gramEnd"/>
      <w:r w:rsidRPr="00F041ED">
        <w:rPr>
          <w:rFonts w:ascii="Calibri" w:eastAsia="Times New Roman" w:hAnsi="Calibri" w:cs="Calibri"/>
          <w:sz w:val="24"/>
          <w:szCs w:val="24"/>
        </w:rPr>
        <w:t xml:space="preserve"> and Staff Governors.</w:t>
      </w:r>
    </w:p>
    <w:p w14:paraId="0C30C206"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Times New Roman" w:eastAsia="Times New Roman" w:hAnsi="Times New Roman" w:cs="Times New Roman"/>
          <w:sz w:val="24"/>
          <w:szCs w:val="24"/>
        </w:rPr>
      </w:pPr>
      <w:r w:rsidRPr="00F041ED">
        <w:rPr>
          <w:rFonts w:ascii="Calibri" w:eastAsia="Times New Roman" w:hAnsi="Calibri" w:cs="Calibri"/>
          <w:sz w:val="24"/>
          <w:szCs w:val="24"/>
        </w:rPr>
        <w:t>advise and recommend to Council the establishment of a time limited Search Committee to support the Council in decisions to select a Vice-Chancellor, Chancellor, Pro-Chancellor(s), Clerk to the Council and other Senior Post Holders as defined within the Articles.  Acknowledging that the Council is not permitted to delegate these functions.</w:t>
      </w:r>
    </w:p>
    <w:p w14:paraId="45901C59"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Times New Roman" w:eastAsia="Times New Roman" w:hAnsi="Times New Roman" w:cs="Times New Roman"/>
          <w:sz w:val="24"/>
          <w:szCs w:val="24"/>
        </w:rPr>
      </w:pPr>
      <w:r w:rsidRPr="00F041ED">
        <w:rPr>
          <w:rFonts w:ascii="Calibri" w:eastAsia="Times New Roman" w:hAnsi="Calibri" w:cs="Calibri"/>
          <w:sz w:val="24"/>
          <w:szCs w:val="24"/>
        </w:rPr>
        <w:t>advise and recommend to Council the establishment of an appropriate time limited Search Committee to support the Council in relation to Article 14.2.4 (suspension or dismissal of the VC and any other Senior Post Holders).</w:t>
      </w:r>
    </w:p>
    <w:p w14:paraId="449C56B4"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 xml:space="preserve">maintain a systematic, transparent and proactive process for seeking nominations for appointments to Council and its </w:t>
      </w:r>
      <w:proofErr w:type="gramStart"/>
      <w:r w:rsidRPr="00F041ED">
        <w:rPr>
          <w:rFonts w:ascii="Calibri" w:eastAsia="Times New Roman" w:hAnsi="Calibri" w:cs="Calibri"/>
          <w:sz w:val="24"/>
          <w:szCs w:val="24"/>
        </w:rPr>
        <w:t>Committees;</w:t>
      </w:r>
      <w:proofErr w:type="gramEnd"/>
      <w:r w:rsidRPr="00F041ED">
        <w:rPr>
          <w:rFonts w:ascii="Calibri" w:eastAsia="Times New Roman" w:hAnsi="Calibri" w:cs="Calibri"/>
          <w:sz w:val="24"/>
          <w:szCs w:val="24"/>
        </w:rPr>
        <w:t xml:space="preserve"> </w:t>
      </w:r>
    </w:p>
    <w:p w14:paraId="3CB6FF19"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consider and recommend to the Council the removal of a Governor from office in accordance with Article 9.6</w:t>
      </w:r>
    </w:p>
    <w:p w14:paraId="53653567" w14:textId="77777777" w:rsidR="00F041ED" w:rsidRPr="00F041ED" w:rsidRDefault="00F041ED" w:rsidP="00F041ED">
      <w:pPr>
        <w:widowControl w:val="0"/>
        <w:numPr>
          <w:ilvl w:val="0"/>
          <w:numId w:val="2"/>
        </w:numPr>
        <w:autoSpaceDE w:val="0"/>
        <w:autoSpaceDN w:val="0"/>
        <w:spacing w:before="120" w:after="120" w:line="276" w:lineRule="auto"/>
        <w:ind w:left="1701"/>
        <w:contextualSpacing/>
        <w:rPr>
          <w:rFonts w:ascii="Calibri" w:eastAsia="Times New Roman" w:hAnsi="Calibri" w:cs="Calibri"/>
          <w:sz w:val="24"/>
          <w:szCs w:val="24"/>
        </w:rPr>
      </w:pPr>
      <w:r w:rsidRPr="00F041ED">
        <w:rPr>
          <w:rFonts w:ascii="Calibri" w:eastAsia="Times New Roman" w:hAnsi="Calibri" w:cs="Calibri"/>
          <w:sz w:val="24"/>
          <w:szCs w:val="24"/>
        </w:rPr>
        <w:t>Upon the recommendation of the University’s Senate and the Honorary Degrees Sub-Committee, consider and recommend to the Council the revocation of any honorary award as set out in the Honorary Degrees Sub-Committees Terms of Reference.</w:t>
      </w:r>
    </w:p>
    <w:p w14:paraId="6CBE89A8" w14:textId="77777777" w:rsidR="00F041ED" w:rsidRPr="00F041ED" w:rsidRDefault="00F041ED" w:rsidP="00F041ED">
      <w:pPr>
        <w:spacing w:line="240" w:lineRule="auto"/>
        <w:ind w:left="1134"/>
        <w:contextualSpacing/>
        <w:jc w:val="both"/>
        <w:rPr>
          <w:rFonts w:ascii="Calibri" w:eastAsia="Times New Roman" w:hAnsi="Calibri" w:cs="Calibri"/>
          <w:sz w:val="24"/>
          <w:szCs w:val="24"/>
        </w:rPr>
      </w:pPr>
    </w:p>
    <w:p w14:paraId="64B3D8AE" w14:textId="77777777" w:rsidR="00F041ED" w:rsidRPr="00F041ED" w:rsidRDefault="00F041ED" w:rsidP="00F041ED">
      <w:pPr>
        <w:numPr>
          <w:ilvl w:val="1"/>
          <w:numId w:val="3"/>
        </w:numPr>
        <w:spacing w:line="240" w:lineRule="auto"/>
        <w:ind w:left="1134" w:hanging="567"/>
        <w:contextualSpacing/>
        <w:jc w:val="both"/>
        <w:rPr>
          <w:rFonts w:ascii="Calibri" w:eastAsia="Times New Roman" w:hAnsi="Calibri" w:cs="Calibri"/>
          <w:sz w:val="24"/>
          <w:szCs w:val="24"/>
        </w:rPr>
      </w:pPr>
      <w:r w:rsidRPr="00F041ED">
        <w:rPr>
          <w:rFonts w:ascii="Calibri" w:eastAsia="Times New Roman" w:hAnsi="Calibri" w:cs="Arial"/>
          <w:sz w:val="24"/>
          <w:szCs w:val="24"/>
        </w:rPr>
        <w:t>Governance</w:t>
      </w:r>
    </w:p>
    <w:p w14:paraId="628C85B8" w14:textId="77777777" w:rsidR="00F041ED" w:rsidRPr="00F041ED" w:rsidRDefault="00F041ED" w:rsidP="00F041ED">
      <w:pPr>
        <w:spacing w:line="240" w:lineRule="auto"/>
        <w:ind w:left="1134"/>
        <w:contextualSpacing/>
        <w:jc w:val="both"/>
        <w:rPr>
          <w:rFonts w:ascii="Calibri" w:eastAsia="Times New Roman" w:hAnsi="Calibri" w:cs="Calibri"/>
          <w:sz w:val="24"/>
          <w:szCs w:val="24"/>
        </w:rPr>
      </w:pPr>
    </w:p>
    <w:p w14:paraId="43F2BD02"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 xml:space="preserve">monitor the Council’s compliance with the CUC Higher Education Code of Governance and other good practice guidance, as appropriate, and to recommend to the Council any such revisions to the Statement of Primary Responsibilities in accordance with Article 30 (also see </w:t>
      </w:r>
      <w:proofErr w:type="spellStart"/>
      <w:r w:rsidRPr="00F041ED">
        <w:rPr>
          <w:rFonts w:ascii="Calibri" w:eastAsia="Times New Roman" w:hAnsi="Calibri" w:cs="Calibri"/>
          <w:sz w:val="24"/>
          <w:szCs w:val="24"/>
        </w:rPr>
        <w:t>iv</w:t>
      </w:r>
      <w:proofErr w:type="spellEnd"/>
      <w:r w:rsidRPr="00F041ED">
        <w:rPr>
          <w:rFonts w:ascii="Calibri" w:eastAsia="Times New Roman" w:hAnsi="Calibri" w:cs="Calibri"/>
          <w:sz w:val="24"/>
          <w:szCs w:val="24"/>
        </w:rPr>
        <w:t xml:space="preserve"> below</w:t>
      </w:r>
      <w:proofErr w:type="gramStart"/>
      <w:r w:rsidRPr="00F041ED">
        <w:rPr>
          <w:rFonts w:ascii="Calibri" w:eastAsia="Times New Roman" w:hAnsi="Calibri" w:cs="Calibri"/>
          <w:sz w:val="24"/>
          <w:szCs w:val="24"/>
        </w:rPr>
        <w:t>);</w:t>
      </w:r>
      <w:proofErr w:type="gramEnd"/>
    </w:p>
    <w:p w14:paraId="5249D569"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 xml:space="preserve">ensure that Council business is conducted in line with the principles of public </w:t>
      </w:r>
      <w:r w:rsidRPr="00F041ED">
        <w:rPr>
          <w:rFonts w:ascii="Calibri" w:eastAsia="Times New Roman" w:hAnsi="Calibri" w:cs="Calibri"/>
          <w:sz w:val="24"/>
          <w:szCs w:val="24"/>
        </w:rPr>
        <w:lastRenderedPageBreak/>
        <w:t xml:space="preserve">life drawn up by the Committee on Standards in Public </w:t>
      </w:r>
      <w:proofErr w:type="gramStart"/>
      <w:r w:rsidRPr="00F041ED">
        <w:rPr>
          <w:rFonts w:ascii="Calibri" w:eastAsia="Times New Roman" w:hAnsi="Calibri" w:cs="Calibri"/>
          <w:sz w:val="24"/>
          <w:szCs w:val="24"/>
        </w:rPr>
        <w:t>Life;</w:t>
      </w:r>
      <w:proofErr w:type="gramEnd"/>
      <w:r w:rsidRPr="00F041ED">
        <w:rPr>
          <w:rFonts w:ascii="Calibri" w:eastAsia="Times New Roman" w:hAnsi="Calibri" w:cs="Calibri"/>
          <w:sz w:val="24"/>
          <w:szCs w:val="24"/>
        </w:rPr>
        <w:t xml:space="preserve"> </w:t>
      </w:r>
    </w:p>
    <w:p w14:paraId="758CF542"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review the requirement for ongoing registration with the Office for Students (</w:t>
      </w:r>
      <w:proofErr w:type="spellStart"/>
      <w:r w:rsidRPr="00F041ED">
        <w:rPr>
          <w:rFonts w:ascii="Calibri" w:eastAsia="Times New Roman" w:hAnsi="Calibri" w:cs="Calibri"/>
          <w:sz w:val="24"/>
          <w:szCs w:val="24"/>
        </w:rPr>
        <w:t>OfS</w:t>
      </w:r>
      <w:proofErr w:type="spellEnd"/>
      <w:r w:rsidRPr="00F041ED">
        <w:rPr>
          <w:rFonts w:ascii="Calibri" w:eastAsia="Times New Roman" w:hAnsi="Calibri" w:cs="Calibri"/>
          <w:sz w:val="24"/>
          <w:szCs w:val="24"/>
        </w:rPr>
        <w:t xml:space="preserve">) and as amended by it from time to time, advising the Council as </w:t>
      </w:r>
      <w:proofErr w:type="gramStart"/>
      <w:r w:rsidRPr="00F041ED">
        <w:rPr>
          <w:rFonts w:ascii="Calibri" w:eastAsia="Times New Roman" w:hAnsi="Calibri" w:cs="Calibri"/>
          <w:sz w:val="24"/>
          <w:szCs w:val="24"/>
        </w:rPr>
        <w:t>appropriate;</w:t>
      </w:r>
      <w:proofErr w:type="gramEnd"/>
    </w:p>
    <w:p w14:paraId="3BA9D632"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 xml:space="preserve">on behalf of the Council, and prompted by an Audit and Risk Committee which monitor and review </w:t>
      </w:r>
      <w:proofErr w:type="spellStart"/>
      <w:r w:rsidRPr="00F041ED">
        <w:rPr>
          <w:rFonts w:ascii="Calibri" w:eastAsia="Times New Roman" w:hAnsi="Calibri" w:cs="Calibri"/>
          <w:sz w:val="24"/>
          <w:szCs w:val="24"/>
        </w:rPr>
        <w:t>OfS</w:t>
      </w:r>
      <w:proofErr w:type="spellEnd"/>
      <w:r w:rsidRPr="00F041ED">
        <w:rPr>
          <w:rFonts w:ascii="Calibri" w:eastAsia="Times New Roman" w:hAnsi="Calibri" w:cs="Calibri"/>
          <w:sz w:val="24"/>
          <w:szCs w:val="24"/>
        </w:rPr>
        <w:t xml:space="preserve"> regulatory compliance, oversee governance issues in relation to the University's registration as a higher education provider with the </w:t>
      </w:r>
      <w:proofErr w:type="spellStart"/>
      <w:r w:rsidRPr="00F041ED">
        <w:rPr>
          <w:rFonts w:ascii="Calibri" w:eastAsia="Times New Roman" w:hAnsi="Calibri" w:cs="Calibri"/>
          <w:sz w:val="24"/>
          <w:szCs w:val="24"/>
        </w:rPr>
        <w:t>OfS</w:t>
      </w:r>
      <w:proofErr w:type="spellEnd"/>
      <w:r w:rsidRPr="00F041ED">
        <w:rPr>
          <w:rFonts w:ascii="Calibri" w:eastAsia="Times New Roman" w:hAnsi="Calibri" w:cs="Calibri"/>
          <w:sz w:val="24"/>
          <w:szCs w:val="24"/>
        </w:rPr>
        <w:t xml:space="preserve"> under the regulatory </w:t>
      </w:r>
      <w:proofErr w:type="gramStart"/>
      <w:r w:rsidRPr="00F041ED">
        <w:rPr>
          <w:rFonts w:ascii="Calibri" w:eastAsia="Times New Roman" w:hAnsi="Calibri" w:cs="Calibri"/>
          <w:sz w:val="24"/>
          <w:szCs w:val="24"/>
        </w:rPr>
        <w:t>framework;</w:t>
      </w:r>
      <w:proofErr w:type="gramEnd"/>
    </w:p>
    <w:p w14:paraId="7D8B0152"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 xml:space="preserve">oversee periodic reviews of the Instrument and Articles of Government, recommending any necessary revisions to the Council in accordance with Article </w:t>
      </w:r>
      <w:proofErr w:type="gramStart"/>
      <w:r w:rsidRPr="00F041ED">
        <w:rPr>
          <w:rFonts w:ascii="Calibri" w:eastAsia="Times New Roman" w:hAnsi="Calibri" w:cs="Calibri"/>
          <w:sz w:val="24"/>
          <w:szCs w:val="24"/>
        </w:rPr>
        <w:t>30;</w:t>
      </w:r>
      <w:proofErr w:type="gramEnd"/>
    </w:p>
    <w:p w14:paraId="58BE99BA"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 xml:space="preserve">oversee governance effectiveness reviews, internal and externally facilitated, and monitor and progress actions, escalating areas of concern to the Council as </w:t>
      </w:r>
      <w:proofErr w:type="gramStart"/>
      <w:r w:rsidRPr="00F041ED">
        <w:rPr>
          <w:rFonts w:ascii="Calibri" w:eastAsia="Times New Roman" w:hAnsi="Calibri" w:cs="Calibri"/>
          <w:sz w:val="24"/>
          <w:szCs w:val="24"/>
        </w:rPr>
        <w:t>appropriate;</w:t>
      </w:r>
      <w:proofErr w:type="gramEnd"/>
    </w:p>
    <w:p w14:paraId="231C66FD"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 xml:space="preserve">oversee the review process of University policies, designating policies to accountable committees for periodic review, making recommendations to Council accordingly as set out in Articles 16-22 and </w:t>
      </w:r>
      <w:proofErr w:type="gramStart"/>
      <w:r w:rsidRPr="00F041ED">
        <w:rPr>
          <w:rFonts w:ascii="Calibri" w:eastAsia="Times New Roman" w:hAnsi="Calibri" w:cs="Calibri"/>
          <w:sz w:val="24"/>
          <w:szCs w:val="24"/>
        </w:rPr>
        <w:t>28;</w:t>
      </w:r>
      <w:proofErr w:type="gramEnd"/>
    </w:p>
    <w:p w14:paraId="13A7B967"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ensure that the University fulfils its safeguarding duties from a general perspective and complements the work of the Audit and Risk Committee who look at safeguarding from a risk and compliance perspective.</w:t>
      </w:r>
    </w:p>
    <w:p w14:paraId="24804E74" w14:textId="77777777" w:rsidR="00F041ED" w:rsidRPr="00F041ED" w:rsidRDefault="00F041ED" w:rsidP="00F041ED">
      <w:pPr>
        <w:widowControl w:val="0"/>
        <w:numPr>
          <w:ilvl w:val="0"/>
          <w:numId w:val="1"/>
        </w:numPr>
        <w:autoSpaceDE w:val="0"/>
        <w:autoSpaceDN w:val="0"/>
        <w:spacing w:line="240" w:lineRule="auto"/>
        <w:ind w:left="1843" w:hanging="425"/>
        <w:contextualSpacing/>
        <w:rPr>
          <w:rFonts w:ascii="Calibri" w:eastAsia="Times New Roman" w:hAnsi="Calibri" w:cs="Calibri"/>
          <w:sz w:val="24"/>
          <w:szCs w:val="24"/>
        </w:rPr>
      </w:pPr>
      <w:r w:rsidRPr="00F041ED">
        <w:rPr>
          <w:rFonts w:ascii="Calibri" w:eastAsia="Times New Roman" w:hAnsi="Calibri" w:cs="Calibri"/>
          <w:sz w:val="24"/>
          <w:szCs w:val="24"/>
        </w:rPr>
        <w:t>monitor and report on any governance matters delegated to it by the Council from time to time.</w:t>
      </w:r>
    </w:p>
    <w:p w14:paraId="694E8E28" w14:textId="77777777" w:rsidR="00F041ED" w:rsidRPr="00F041ED" w:rsidRDefault="00F041ED" w:rsidP="00F041ED">
      <w:pPr>
        <w:spacing w:after="160"/>
        <w:ind w:left="1152"/>
        <w:contextualSpacing/>
        <w:rPr>
          <w:rFonts w:ascii="Calibri" w:eastAsia="Times New Roman" w:hAnsi="Calibri" w:cs="Calibri"/>
          <w:sz w:val="24"/>
          <w:szCs w:val="24"/>
        </w:rPr>
      </w:pPr>
    </w:p>
    <w:p w14:paraId="05B08274"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5F896186"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346F332A"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290A91CC"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15881A26"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215FF1E2"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78CF28EA"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3E619397"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4067E7FD"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6D3BB078"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25EDEA73"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3348052F"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6CFBB9E2"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1016FCD4"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5CEE0FE1"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33E413CA"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4FD7F92F"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2B7F60E2"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50B48BA7"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395E5F6F"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747FF006"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6B281A0D"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7C7C58EF"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496CBE89"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6BD67565"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1D62858D"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67AA2E63"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06C286B4"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6FB648BB"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3F11279E"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1029B1A4"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2A90A0DE"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097838A6" w14:textId="77777777" w:rsidR="00F041ED" w:rsidRPr="00F041ED" w:rsidRDefault="00F041ED" w:rsidP="00F041ED">
      <w:pPr>
        <w:numPr>
          <w:ilvl w:val="1"/>
          <w:numId w:val="4"/>
        </w:numPr>
        <w:spacing w:after="160" w:line="240" w:lineRule="auto"/>
        <w:ind w:left="999"/>
        <w:contextualSpacing/>
        <w:rPr>
          <w:rFonts w:ascii="Calibri" w:eastAsia="Times New Roman" w:hAnsi="Calibri" w:cs="Calibri"/>
          <w:sz w:val="24"/>
          <w:szCs w:val="24"/>
        </w:rPr>
      </w:pPr>
      <w:r w:rsidRPr="00F041ED">
        <w:rPr>
          <w:rFonts w:ascii="Calibri" w:eastAsia="Times New Roman" w:hAnsi="Calibri" w:cs="Calibri"/>
          <w:sz w:val="24"/>
          <w:szCs w:val="24"/>
        </w:rPr>
        <w:t xml:space="preserve">To make recommendations to Council as appropriate, </w:t>
      </w:r>
      <w:proofErr w:type="gramStart"/>
      <w:r w:rsidRPr="00F041ED">
        <w:rPr>
          <w:rFonts w:ascii="Calibri" w:eastAsia="Times New Roman" w:hAnsi="Calibri" w:cs="Calibri"/>
          <w:sz w:val="24"/>
          <w:szCs w:val="24"/>
        </w:rPr>
        <w:t>and;</w:t>
      </w:r>
      <w:proofErr w:type="gramEnd"/>
    </w:p>
    <w:p w14:paraId="6421DD2B" w14:textId="77777777" w:rsidR="00F041ED" w:rsidRPr="00F041ED" w:rsidRDefault="00F041ED" w:rsidP="00F041ED">
      <w:pPr>
        <w:spacing w:after="160"/>
        <w:ind w:left="1152" w:hanging="585"/>
        <w:contextualSpacing/>
        <w:rPr>
          <w:rFonts w:ascii="Calibri" w:eastAsia="Times New Roman" w:hAnsi="Calibri" w:cs="Calibri"/>
          <w:sz w:val="24"/>
          <w:szCs w:val="24"/>
        </w:rPr>
      </w:pPr>
    </w:p>
    <w:p w14:paraId="022EA28D" w14:textId="77777777" w:rsidR="00F041ED" w:rsidRPr="00F041ED" w:rsidRDefault="00F041ED" w:rsidP="00F041ED">
      <w:pPr>
        <w:numPr>
          <w:ilvl w:val="0"/>
          <w:numId w:val="4"/>
        </w:numPr>
        <w:spacing w:after="160" w:line="240" w:lineRule="auto"/>
        <w:ind w:left="720"/>
        <w:contextualSpacing/>
        <w:rPr>
          <w:rFonts w:ascii="Calibri" w:eastAsia="Times New Roman" w:hAnsi="Calibri" w:cs="Calibri"/>
          <w:vanish/>
          <w:sz w:val="24"/>
          <w:szCs w:val="24"/>
        </w:rPr>
      </w:pPr>
    </w:p>
    <w:p w14:paraId="521EAC3A"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7DC1FEF7"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165F4F08"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61679EC6"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5F430CF6"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2A551CF3"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1E44591E"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3F1B8846"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1E47BDFF"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4150ADF0"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4F2DA2E8"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24CF8C81"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494DEBC2" w14:textId="77777777" w:rsidR="00F041ED" w:rsidRPr="00F041ED" w:rsidRDefault="00F041ED" w:rsidP="00F041ED">
      <w:pPr>
        <w:numPr>
          <w:ilvl w:val="1"/>
          <w:numId w:val="4"/>
        </w:numPr>
        <w:spacing w:after="160" w:line="240" w:lineRule="auto"/>
        <w:ind w:left="1152"/>
        <w:contextualSpacing/>
        <w:rPr>
          <w:rFonts w:ascii="Calibri" w:eastAsia="Times New Roman" w:hAnsi="Calibri" w:cs="Calibri"/>
          <w:vanish/>
          <w:sz w:val="24"/>
          <w:szCs w:val="24"/>
        </w:rPr>
      </w:pPr>
    </w:p>
    <w:p w14:paraId="4D5A4279" w14:textId="77777777" w:rsidR="00F041ED" w:rsidRPr="00F041ED" w:rsidRDefault="00F041ED" w:rsidP="00F041ED">
      <w:pPr>
        <w:numPr>
          <w:ilvl w:val="1"/>
          <w:numId w:val="4"/>
        </w:numPr>
        <w:spacing w:after="160" w:line="240" w:lineRule="auto"/>
        <w:ind w:left="999"/>
        <w:contextualSpacing/>
        <w:rPr>
          <w:rFonts w:ascii="Calibri" w:eastAsia="Times New Roman" w:hAnsi="Calibri" w:cs="Calibri"/>
          <w:sz w:val="24"/>
          <w:szCs w:val="24"/>
        </w:rPr>
      </w:pPr>
      <w:r w:rsidRPr="00F041ED">
        <w:rPr>
          <w:rFonts w:ascii="Calibri" w:eastAsia="Times New Roman" w:hAnsi="Calibri" w:cs="Calibri"/>
          <w:sz w:val="24"/>
          <w:szCs w:val="24"/>
        </w:rPr>
        <w:t>To carry out an annual review of the Committee’s effectiveness.</w:t>
      </w:r>
    </w:p>
    <w:p w14:paraId="47F8139A" w14:textId="61D87730" w:rsidR="008B7167" w:rsidRDefault="008B7167"/>
    <w:sectPr w:rsidR="008B7167" w:rsidSect="0056125F">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2502D"/>
    <w:multiLevelType w:val="multilevel"/>
    <w:tmpl w:val="0809001F"/>
    <w:lvl w:ilvl="0">
      <w:start w:val="1"/>
      <w:numFmt w:val="decimal"/>
      <w:lvlText w:val="%1."/>
      <w:lvlJc w:val="left"/>
      <w:pPr>
        <w:ind w:left="153" w:hanging="360"/>
      </w:pPr>
    </w:lvl>
    <w:lvl w:ilvl="1">
      <w:start w:val="1"/>
      <w:numFmt w:val="decimal"/>
      <w:lvlText w:val="%1.%2."/>
      <w:lvlJc w:val="left"/>
      <w:pPr>
        <w:ind w:left="585" w:hanging="432"/>
      </w:pPr>
    </w:lvl>
    <w:lvl w:ilvl="2">
      <w:start w:val="1"/>
      <w:numFmt w:val="decimal"/>
      <w:lvlText w:val="%1.%2.%3."/>
      <w:lvlJc w:val="left"/>
      <w:pPr>
        <w:ind w:left="1017" w:hanging="504"/>
      </w:pPr>
    </w:lvl>
    <w:lvl w:ilvl="3">
      <w:start w:val="1"/>
      <w:numFmt w:val="decimal"/>
      <w:lvlText w:val="%1.%2.%3.%4."/>
      <w:lvlJc w:val="left"/>
      <w:pPr>
        <w:ind w:left="1521" w:hanging="648"/>
      </w:pPr>
    </w:lvl>
    <w:lvl w:ilvl="4">
      <w:start w:val="1"/>
      <w:numFmt w:val="decimal"/>
      <w:lvlText w:val="%1.%2.%3.%4.%5."/>
      <w:lvlJc w:val="left"/>
      <w:pPr>
        <w:ind w:left="2025" w:hanging="792"/>
      </w:pPr>
    </w:lvl>
    <w:lvl w:ilvl="5">
      <w:start w:val="1"/>
      <w:numFmt w:val="decimal"/>
      <w:lvlText w:val="%1.%2.%3.%4.%5.%6."/>
      <w:lvlJc w:val="left"/>
      <w:pPr>
        <w:ind w:left="2529" w:hanging="936"/>
      </w:pPr>
    </w:lvl>
    <w:lvl w:ilvl="6">
      <w:start w:val="1"/>
      <w:numFmt w:val="decimal"/>
      <w:lvlText w:val="%1.%2.%3.%4.%5.%6.%7."/>
      <w:lvlJc w:val="left"/>
      <w:pPr>
        <w:ind w:left="3033" w:hanging="1080"/>
      </w:pPr>
    </w:lvl>
    <w:lvl w:ilvl="7">
      <w:start w:val="1"/>
      <w:numFmt w:val="decimal"/>
      <w:lvlText w:val="%1.%2.%3.%4.%5.%6.%7.%8."/>
      <w:lvlJc w:val="left"/>
      <w:pPr>
        <w:ind w:left="3537" w:hanging="1224"/>
      </w:pPr>
    </w:lvl>
    <w:lvl w:ilvl="8">
      <w:start w:val="1"/>
      <w:numFmt w:val="decimal"/>
      <w:lvlText w:val="%1.%2.%3.%4.%5.%6.%7.%8.%9."/>
      <w:lvlJc w:val="left"/>
      <w:pPr>
        <w:ind w:left="4113" w:hanging="1440"/>
      </w:pPr>
    </w:lvl>
  </w:abstractNum>
  <w:abstractNum w:abstractNumId="1" w15:restartNumberingAfterBreak="0">
    <w:nsid w:val="3DFA60BB"/>
    <w:multiLevelType w:val="multilevel"/>
    <w:tmpl w:val="A1F6C956"/>
    <w:lvl w:ilvl="0">
      <w:start w:val="1"/>
      <w:numFmt w:val="lowerRoman"/>
      <w:lvlText w:val="%1."/>
      <w:lvlJc w:val="right"/>
      <w:pPr>
        <w:ind w:left="360" w:hanging="360"/>
      </w:pPr>
      <w:rPr>
        <w:rFonts w:hint="default"/>
        <w:color w:val="auto"/>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3F1722"/>
    <w:multiLevelType w:val="multilevel"/>
    <w:tmpl w:val="85163B20"/>
    <w:lvl w:ilvl="0">
      <w:start w:val="1"/>
      <w:numFmt w:val="lowerRoman"/>
      <w:lvlText w:val="%1."/>
      <w:lvlJc w:val="right"/>
      <w:pPr>
        <w:ind w:left="360" w:hanging="360"/>
      </w:pPr>
      <w:rPr>
        <w:rFonts w:asciiTheme="minorHAnsi" w:hAnsiTheme="minorHAnsi" w:cstheme="minorHAnsi" w:hint="default"/>
        <w:b w:val="0"/>
        <w:sz w:val="22"/>
        <w:szCs w:val="22"/>
      </w:rPr>
    </w:lvl>
    <w:lvl w:ilvl="1">
      <w:start w:val="1"/>
      <w:numFmt w:val="decimal"/>
      <w:lvlText w:val="%1.%2."/>
      <w:lvlJc w:val="left"/>
      <w:pPr>
        <w:ind w:left="79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E17FE2"/>
    <w:multiLevelType w:val="multilevel"/>
    <w:tmpl w:val="B9A0CFF2"/>
    <w:lvl w:ilvl="0">
      <w:start w:val="20"/>
      <w:numFmt w:val="decimal"/>
      <w:lvlText w:val="%1."/>
      <w:lvlJc w:val="left"/>
      <w:pPr>
        <w:ind w:left="360" w:hanging="360"/>
      </w:pPr>
      <w:rPr>
        <w:rFonts w:hint="default"/>
        <w:b/>
        <w:sz w:val="28"/>
        <w:szCs w:val="28"/>
      </w:rPr>
    </w:lvl>
    <w:lvl w:ilvl="1">
      <w:start w:val="1"/>
      <w:numFmt w:val="decimal"/>
      <w:lvlText w:val="%1.%2."/>
      <w:lvlJc w:val="left"/>
      <w:pPr>
        <w:ind w:left="508"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num w:numId="1" w16cid:durableId="1930501207">
    <w:abstractNumId w:val="1"/>
  </w:num>
  <w:num w:numId="2" w16cid:durableId="2080204576">
    <w:abstractNumId w:val="2"/>
  </w:num>
  <w:num w:numId="3" w16cid:durableId="1910071855">
    <w:abstractNumId w:val="3"/>
  </w:num>
  <w:num w:numId="4" w16cid:durableId="136066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ED"/>
    <w:rsid w:val="000555D5"/>
    <w:rsid w:val="0056125F"/>
    <w:rsid w:val="008B7167"/>
    <w:rsid w:val="00E407F4"/>
    <w:rsid w:val="00F041ED"/>
    <w:rsid w:val="00F97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A477"/>
  <w15:chartTrackingRefBased/>
  <w15:docId w15:val="{43DCE1F6-3FE4-4C20-96DE-14452117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D5"/>
  </w:style>
  <w:style w:type="paragraph" w:styleId="Heading1">
    <w:name w:val="heading 1"/>
    <w:basedOn w:val="Normal"/>
    <w:next w:val="Normal"/>
    <w:link w:val="Heading1Char"/>
    <w:uiPriority w:val="9"/>
    <w:qFormat/>
    <w:rsid w:val="000555D5"/>
    <w:pPr>
      <w:keepNext/>
      <w:keepLines/>
      <w:spacing w:before="240"/>
      <w:outlineLvl w:val="0"/>
    </w:pPr>
    <w:rPr>
      <w:rFonts w:asciiTheme="majorHAnsi" w:eastAsiaTheme="majorEastAsia" w:hAnsiTheme="majorHAnsi" w:cstheme="majorBidi"/>
      <w:b/>
      <w:color w:val="006379" w:themeColor="text2"/>
      <w:sz w:val="32"/>
      <w:szCs w:val="32"/>
    </w:rPr>
  </w:style>
  <w:style w:type="paragraph" w:styleId="Heading2">
    <w:name w:val="heading 2"/>
    <w:basedOn w:val="Normal"/>
    <w:next w:val="Normal"/>
    <w:link w:val="Heading2Char"/>
    <w:uiPriority w:val="9"/>
    <w:unhideWhenUsed/>
    <w:qFormat/>
    <w:rsid w:val="000555D5"/>
    <w:pPr>
      <w:keepNext/>
      <w:keepLines/>
      <w:spacing w:before="40"/>
      <w:outlineLvl w:val="1"/>
    </w:pPr>
    <w:rPr>
      <w:rFonts w:asciiTheme="majorHAnsi" w:eastAsiaTheme="majorEastAsia" w:hAnsiTheme="majorHAnsi" w:cstheme="majorBidi"/>
      <w:color w:val="006379" w:themeColor="text2"/>
      <w:sz w:val="26"/>
      <w:szCs w:val="26"/>
    </w:rPr>
  </w:style>
  <w:style w:type="paragraph" w:styleId="Heading3">
    <w:name w:val="heading 3"/>
    <w:basedOn w:val="Normal"/>
    <w:next w:val="Normal"/>
    <w:link w:val="Heading3Char"/>
    <w:uiPriority w:val="9"/>
    <w:semiHidden/>
    <w:unhideWhenUsed/>
    <w:qFormat/>
    <w:rsid w:val="000555D5"/>
    <w:pPr>
      <w:keepNext/>
      <w:keepLines/>
      <w:spacing w:before="40"/>
      <w:outlineLvl w:val="2"/>
    </w:pPr>
    <w:rPr>
      <w:rFonts w:asciiTheme="majorHAnsi" w:eastAsiaTheme="majorEastAsia" w:hAnsiTheme="majorHAnsi" w:cstheme="majorBidi"/>
      <w:color w:val="006379" w:themeColor="text2"/>
      <w:sz w:val="24"/>
      <w:szCs w:val="24"/>
    </w:rPr>
  </w:style>
  <w:style w:type="paragraph" w:styleId="Heading4">
    <w:name w:val="heading 4"/>
    <w:basedOn w:val="Normal"/>
    <w:next w:val="Normal"/>
    <w:link w:val="Heading4Char"/>
    <w:uiPriority w:val="9"/>
    <w:semiHidden/>
    <w:unhideWhenUsed/>
    <w:qFormat/>
    <w:rsid w:val="00F041ED"/>
    <w:pPr>
      <w:keepNext/>
      <w:keepLines/>
      <w:spacing w:before="80" w:after="40"/>
      <w:outlineLvl w:val="3"/>
    </w:pPr>
    <w:rPr>
      <w:rFonts w:eastAsiaTheme="majorEastAsia" w:cstheme="majorBidi"/>
      <w:i/>
      <w:iCs/>
      <w:color w:val="839928" w:themeColor="accent1" w:themeShade="BF"/>
    </w:rPr>
  </w:style>
  <w:style w:type="paragraph" w:styleId="Heading5">
    <w:name w:val="heading 5"/>
    <w:basedOn w:val="Normal"/>
    <w:next w:val="Normal"/>
    <w:link w:val="Heading5Char"/>
    <w:uiPriority w:val="9"/>
    <w:semiHidden/>
    <w:unhideWhenUsed/>
    <w:qFormat/>
    <w:rsid w:val="00F041ED"/>
    <w:pPr>
      <w:keepNext/>
      <w:keepLines/>
      <w:spacing w:before="80" w:after="40"/>
      <w:outlineLvl w:val="4"/>
    </w:pPr>
    <w:rPr>
      <w:rFonts w:eastAsiaTheme="majorEastAsia" w:cstheme="majorBidi"/>
      <w:color w:val="839928" w:themeColor="accent1" w:themeShade="BF"/>
    </w:rPr>
  </w:style>
  <w:style w:type="paragraph" w:styleId="Heading6">
    <w:name w:val="heading 6"/>
    <w:basedOn w:val="Normal"/>
    <w:next w:val="Normal"/>
    <w:link w:val="Heading6Char"/>
    <w:uiPriority w:val="9"/>
    <w:semiHidden/>
    <w:unhideWhenUsed/>
    <w:qFormat/>
    <w:rsid w:val="00F041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1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1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1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5D5"/>
    <w:rPr>
      <w:rFonts w:asciiTheme="majorHAnsi" w:eastAsiaTheme="majorEastAsia" w:hAnsiTheme="majorHAnsi" w:cstheme="majorBidi"/>
      <w:b/>
      <w:color w:val="006379" w:themeColor="text2"/>
      <w:sz w:val="32"/>
      <w:szCs w:val="32"/>
    </w:rPr>
  </w:style>
  <w:style w:type="character" w:customStyle="1" w:styleId="Heading2Char">
    <w:name w:val="Heading 2 Char"/>
    <w:basedOn w:val="DefaultParagraphFont"/>
    <w:link w:val="Heading2"/>
    <w:uiPriority w:val="9"/>
    <w:rsid w:val="000555D5"/>
    <w:rPr>
      <w:rFonts w:asciiTheme="majorHAnsi" w:eastAsiaTheme="majorEastAsia" w:hAnsiTheme="majorHAnsi" w:cstheme="majorBidi"/>
      <w:color w:val="006379" w:themeColor="text2"/>
      <w:sz w:val="26"/>
      <w:szCs w:val="26"/>
    </w:rPr>
  </w:style>
  <w:style w:type="paragraph" w:styleId="Title">
    <w:name w:val="Title"/>
    <w:basedOn w:val="Normal"/>
    <w:next w:val="Normal"/>
    <w:link w:val="TitleChar"/>
    <w:uiPriority w:val="10"/>
    <w:qFormat/>
    <w:rsid w:val="000555D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5D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555D5"/>
    <w:rPr>
      <w:b/>
      <w:bCs/>
    </w:rPr>
  </w:style>
  <w:style w:type="paragraph" w:styleId="ListParagraph">
    <w:name w:val="List Paragraph"/>
    <w:basedOn w:val="Normal"/>
    <w:uiPriority w:val="34"/>
    <w:qFormat/>
    <w:rsid w:val="000555D5"/>
    <w:pPr>
      <w:ind w:left="720"/>
      <w:contextualSpacing/>
    </w:pPr>
  </w:style>
  <w:style w:type="paragraph" w:styleId="TOCHeading">
    <w:name w:val="TOC Heading"/>
    <w:basedOn w:val="Heading1"/>
    <w:next w:val="Normal"/>
    <w:uiPriority w:val="39"/>
    <w:unhideWhenUsed/>
    <w:qFormat/>
    <w:rsid w:val="000555D5"/>
    <w:pPr>
      <w:outlineLvl w:val="9"/>
    </w:pPr>
    <w:rPr>
      <w:b w:val="0"/>
      <w:color w:val="839928" w:themeColor="accent1" w:themeShade="BF"/>
      <w:lang w:eastAsia="en-GB"/>
    </w:rPr>
  </w:style>
  <w:style w:type="character" w:customStyle="1" w:styleId="Heading3Char">
    <w:name w:val="Heading 3 Char"/>
    <w:basedOn w:val="DefaultParagraphFont"/>
    <w:link w:val="Heading3"/>
    <w:uiPriority w:val="9"/>
    <w:semiHidden/>
    <w:rsid w:val="000555D5"/>
    <w:rPr>
      <w:rFonts w:asciiTheme="majorHAnsi" w:eastAsiaTheme="majorEastAsia" w:hAnsiTheme="majorHAnsi" w:cstheme="majorBidi"/>
      <w:color w:val="006379" w:themeColor="text2"/>
      <w:sz w:val="24"/>
      <w:szCs w:val="24"/>
    </w:rPr>
  </w:style>
  <w:style w:type="character" w:customStyle="1" w:styleId="Heading4Char">
    <w:name w:val="Heading 4 Char"/>
    <w:basedOn w:val="DefaultParagraphFont"/>
    <w:link w:val="Heading4"/>
    <w:uiPriority w:val="9"/>
    <w:semiHidden/>
    <w:rsid w:val="00F041ED"/>
    <w:rPr>
      <w:rFonts w:eastAsiaTheme="majorEastAsia" w:cstheme="majorBidi"/>
      <w:i/>
      <w:iCs/>
      <w:color w:val="839928" w:themeColor="accent1" w:themeShade="BF"/>
    </w:rPr>
  </w:style>
  <w:style w:type="character" w:customStyle="1" w:styleId="Heading5Char">
    <w:name w:val="Heading 5 Char"/>
    <w:basedOn w:val="DefaultParagraphFont"/>
    <w:link w:val="Heading5"/>
    <w:uiPriority w:val="9"/>
    <w:semiHidden/>
    <w:rsid w:val="00F041ED"/>
    <w:rPr>
      <w:rFonts w:eastAsiaTheme="majorEastAsia" w:cstheme="majorBidi"/>
      <w:color w:val="839928" w:themeColor="accent1" w:themeShade="BF"/>
    </w:rPr>
  </w:style>
  <w:style w:type="character" w:customStyle="1" w:styleId="Heading6Char">
    <w:name w:val="Heading 6 Char"/>
    <w:basedOn w:val="DefaultParagraphFont"/>
    <w:link w:val="Heading6"/>
    <w:uiPriority w:val="9"/>
    <w:semiHidden/>
    <w:rsid w:val="00F04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1ED"/>
    <w:rPr>
      <w:rFonts w:eastAsiaTheme="majorEastAsia" w:cstheme="majorBidi"/>
      <w:color w:val="272727" w:themeColor="text1" w:themeTint="D8"/>
    </w:rPr>
  </w:style>
  <w:style w:type="paragraph" w:styleId="Subtitle">
    <w:name w:val="Subtitle"/>
    <w:basedOn w:val="Normal"/>
    <w:next w:val="Normal"/>
    <w:link w:val="SubtitleChar"/>
    <w:uiPriority w:val="11"/>
    <w:qFormat/>
    <w:rsid w:val="00F041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1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41ED"/>
    <w:rPr>
      <w:i/>
      <w:iCs/>
      <w:color w:val="404040" w:themeColor="text1" w:themeTint="BF"/>
    </w:rPr>
  </w:style>
  <w:style w:type="character" w:styleId="IntenseEmphasis">
    <w:name w:val="Intense Emphasis"/>
    <w:basedOn w:val="DefaultParagraphFont"/>
    <w:uiPriority w:val="21"/>
    <w:qFormat/>
    <w:rsid w:val="00F041ED"/>
    <w:rPr>
      <w:i/>
      <w:iCs/>
      <w:color w:val="839928" w:themeColor="accent1" w:themeShade="BF"/>
    </w:rPr>
  </w:style>
  <w:style w:type="paragraph" w:styleId="IntenseQuote">
    <w:name w:val="Intense Quote"/>
    <w:basedOn w:val="Normal"/>
    <w:next w:val="Normal"/>
    <w:link w:val="IntenseQuoteChar"/>
    <w:uiPriority w:val="30"/>
    <w:qFormat/>
    <w:rsid w:val="00F041ED"/>
    <w:pPr>
      <w:pBdr>
        <w:top w:val="single" w:sz="4" w:space="10" w:color="839928" w:themeColor="accent1" w:themeShade="BF"/>
        <w:bottom w:val="single" w:sz="4" w:space="10" w:color="839928" w:themeColor="accent1" w:themeShade="BF"/>
      </w:pBdr>
      <w:spacing w:before="360" w:after="360"/>
      <w:ind w:left="864" w:right="864"/>
      <w:jc w:val="center"/>
    </w:pPr>
    <w:rPr>
      <w:i/>
      <w:iCs/>
      <w:color w:val="839928" w:themeColor="accent1" w:themeShade="BF"/>
    </w:rPr>
  </w:style>
  <w:style w:type="character" w:customStyle="1" w:styleId="IntenseQuoteChar">
    <w:name w:val="Intense Quote Char"/>
    <w:basedOn w:val="DefaultParagraphFont"/>
    <w:link w:val="IntenseQuote"/>
    <w:uiPriority w:val="30"/>
    <w:rsid w:val="00F041ED"/>
    <w:rPr>
      <w:i/>
      <w:iCs/>
      <w:color w:val="839928" w:themeColor="accent1" w:themeShade="BF"/>
    </w:rPr>
  </w:style>
  <w:style w:type="character" w:styleId="IntenseReference">
    <w:name w:val="Intense Reference"/>
    <w:basedOn w:val="DefaultParagraphFont"/>
    <w:uiPriority w:val="32"/>
    <w:qFormat/>
    <w:rsid w:val="00F041ED"/>
    <w:rPr>
      <w:b/>
      <w:bCs/>
      <w:smallCaps/>
      <w:color w:val="83992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BNU">
  <a:themeElements>
    <a:clrScheme name="Birmingham Newman University">
      <a:dk1>
        <a:sysClr val="windowText" lastClr="000000"/>
      </a:dk1>
      <a:lt1>
        <a:sysClr val="window" lastClr="FFFFFF"/>
      </a:lt1>
      <a:dk2>
        <a:srgbClr val="006379"/>
      </a:dk2>
      <a:lt2>
        <a:srgbClr val="82AEB3"/>
      </a:lt2>
      <a:accent1>
        <a:srgbClr val="AFCB37"/>
      </a:accent1>
      <a:accent2>
        <a:srgbClr val="8A9F61"/>
      </a:accent2>
      <a:accent3>
        <a:srgbClr val="40492A"/>
      </a:accent3>
      <a:accent4>
        <a:srgbClr val="C3B192"/>
      </a:accent4>
      <a:accent5>
        <a:srgbClr val="9A8597"/>
      </a:accent5>
      <a:accent6>
        <a:srgbClr val="002C4B"/>
      </a:accent6>
      <a:hlink>
        <a:srgbClr val="006379"/>
      </a:hlink>
      <a:folHlink>
        <a:srgbClr val="9A8597"/>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263ACA247E2468EA89E1B396E63A1" ma:contentTypeVersion="13" ma:contentTypeDescription="Create a new document." ma:contentTypeScope="" ma:versionID="66b3cc88f48641422bb2c3c360ca76d2">
  <xsd:schema xmlns:xsd="http://www.w3.org/2001/XMLSchema" xmlns:xs="http://www.w3.org/2001/XMLSchema" xmlns:p="http://schemas.microsoft.com/office/2006/metadata/properties" xmlns:ns2="7c3a351f-bc38-418a-8c9d-4ac0e943eed7" xmlns:ns3="b5f2d4d1-c54d-4ad2-80d4-0f8c4b020270" targetNamespace="http://schemas.microsoft.com/office/2006/metadata/properties" ma:root="true" ma:fieldsID="bafdf8d729954f1ed590e27ad520eafb" ns2:_="" ns3:_="">
    <xsd:import namespace="7c3a351f-bc38-418a-8c9d-4ac0e943eed7"/>
    <xsd:import namespace="b5f2d4d1-c54d-4ad2-80d4-0f8c4b020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351f-bc38-418a-8c9d-4ac0e943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2d4d1-c54d-4ad2-80d4-0f8c4b020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745F0-37E9-4287-B04A-AC099F394F1C}"/>
</file>

<file path=customXml/itemProps2.xml><?xml version="1.0" encoding="utf-8"?>
<ds:datastoreItem xmlns:ds="http://schemas.openxmlformats.org/officeDocument/2006/customXml" ds:itemID="{00F91E81-BABF-4F06-AD98-3198AEF46378}"/>
</file>

<file path=customXml/itemProps3.xml><?xml version="1.0" encoding="utf-8"?>
<ds:datastoreItem xmlns:ds="http://schemas.openxmlformats.org/officeDocument/2006/customXml" ds:itemID="{A2B80FD2-5323-408B-9EB8-FB61A1A2DE1E}"/>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Croxford</dc:creator>
  <cp:keywords/>
  <dc:description/>
  <cp:lastModifiedBy>Harry Croxford</cp:lastModifiedBy>
  <cp:revision>1</cp:revision>
  <dcterms:created xsi:type="dcterms:W3CDTF">2024-12-13T12:04:00Z</dcterms:created>
  <dcterms:modified xsi:type="dcterms:W3CDTF">2024-12-13T12:06:00Z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0x0101003D3263ACA247E2468EA89E1B396E63A1</vt:lpwstr>
  </property>
</Properties>
</file>